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jc w:val="both"/>
        <w:rPr>
          <w:rFonts w:hint="eastAsia"/>
          <w:sz w:val="84"/>
          <w:szCs w:val="84"/>
        </w:rPr>
      </w:pPr>
    </w:p>
    <w:p>
      <w:pPr>
        <w:jc w:val="center"/>
        <w:rPr>
          <w:sz w:val="84"/>
          <w:szCs w:val="84"/>
        </w:rPr>
      </w:pPr>
      <w:r>
        <w:rPr>
          <w:rFonts w:hint="eastAsia"/>
          <w:sz w:val="56"/>
          <w:szCs w:val="56"/>
        </w:rPr>
        <w:t>202</w:t>
      </w:r>
      <w:r>
        <w:rPr>
          <w:rFonts w:hint="eastAsia"/>
          <w:sz w:val="56"/>
          <w:szCs w:val="56"/>
          <w:lang w:val="en-US" w:eastAsia="zh-CN"/>
        </w:rPr>
        <w:t>4</w:t>
      </w:r>
      <w:r>
        <w:rPr>
          <w:rFonts w:hint="eastAsia"/>
          <w:sz w:val="56"/>
          <w:szCs w:val="56"/>
        </w:rPr>
        <w:t>年三亚市吉阳区卓达大社区综合服务中心</w:t>
      </w:r>
      <w:r>
        <w:rPr>
          <w:rFonts w:hint="eastAsia"/>
          <w:sz w:val="56"/>
          <w:szCs w:val="56"/>
          <w:lang w:eastAsia="zh-CN"/>
        </w:rPr>
        <w:t>部门</w:t>
      </w:r>
      <w:r>
        <w:rPr>
          <w:rFonts w:hint="eastAsia"/>
          <w:sz w:val="56"/>
          <w:szCs w:val="56"/>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rPr>
          <w:sz w:val="56"/>
          <w:szCs w:val="56"/>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hint="eastAsia" w:ascii="仿宋_GB2312" w:hAnsi="黑体"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三亚市吉阳区</w:t>
      </w:r>
      <w:r>
        <w:rPr>
          <w:rFonts w:hint="eastAsia" w:ascii="黑体" w:hAnsi="黑体" w:eastAsia="黑体" w:cs="黑体"/>
          <w:sz w:val="32"/>
          <w:szCs w:val="32"/>
          <w:lang w:val="en-US" w:eastAsia="zh-CN"/>
        </w:rPr>
        <w:t>卓达大社区综合服务中心</w:t>
      </w:r>
      <w:r>
        <w:rPr>
          <w:rFonts w:hint="eastAsia" w:ascii="黑体" w:hAnsi="黑体" w:eastAsia="黑体" w:cs="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6"/>
        <w:numPr>
          <w:ilvl w:val="0"/>
          <w:numId w:val="1"/>
        </w:numPr>
        <w:ind w:firstLineChars="0"/>
        <w:rPr>
          <w:rFonts w:hint="eastAsia" w:ascii="仿宋_GB2312" w:hAnsi="黑体"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b w:val="0"/>
          <w:bCs w:val="0"/>
          <w:sz w:val="32"/>
          <w:szCs w:val="32"/>
        </w:rPr>
        <w:t>三亚市吉阳区</w:t>
      </w:r>
      <w:r>
        <w:rPr>
          <w:rFonts w:hint="eastAsia" w:ascii="黑体" w:hAnsi="黑体" w:eastAsia="黑体" w:cs="黑体"/>
          <w:sz w:val="32"/>
          <w:szCs w:val="32"/>
          <w:lang w:val="en-US" w:eastAsia="zh-CN"/>
        </w:rPr>
        <w:t>卓达大社区综合服务中心</w:t>
      </w:r>
      <w:r>
        <w:rPr>
          <w:rFonts w:hint="eastAsia" w:ascii="黑体" w:hAnsi="黑体" w:eastAsia="黑体" w:cs="黑体"/>
          <w:b w:val="0"/>
          <w:bCs w:val="0"/>
          <w:sz w:val="32"/>
          <w:szCs w:val="32"/>
          <w:lang w:val="en-US" w:eastAsia="zh-CN"/>
        </w:rPr>
        <w:t>2024</w:t>
      </w:r>
      <w:r>
        <w:rPr>
          <w:rFonts w:hint="eastAsia" w:ascii="黑体" w:hAnsi="黑体" w:eastAsia="黑体" w:cs="黑体"/>
          <w:b w:val="0"/>
          <w:bCs w:val="0"/>
          <w:sz w:val="32"/>
          <w:szCs w:val="32"/>
        </w:rPr>
        <w:t>年</w:t>
      </w:r>
      <w:r>
        <w:rPr>
          <w:rFonts w:hint="eastAsia" w:ascii="黑体" w:hAnsi="黑体" w:eastAsia="黑体" w:cs="黑体"/>
          <w:b w:val="0"/>
          <w:bCs w:val="0"/>
          <w:sz w:val="32"/>
          <w:szCs w:val="32"/>
          <w:lang w:eastAsia="zh-CN"/>
        </w:rPr>
        <w:t>部门</w:t>
      </w:r>
      <w:r>
        <w:rPr>
          <w:rFonts w:hint="eastAsia" w:ascii="黑体" w:hAnsi="黑体" w:eastAsia="黑体" w:cs="黑体"/>
          <w:b w:val="0"/>
          <w:bCs w:val="0"/>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sz w:val="32"/>
          <w:szCs w:val="32"/>
        </w:rPr>
        <w:t xml:space="preserve"> </w:t>
      </w:r>
      <w:r>
        <w:rPr>
          <w:rFonts w:hint="eastAsia" w:ascii="黑体" w:hAnsi="黑体" w:eastAsia="黑体"/>
          <w:b/>
          <w:bCs/>
          <w:sz w:val="32"/>
          <w:szCs w:val="32"/>
        </w:rPr>
        <w:t xml:space="preserve"> </w:t>
      </w:r>
      <w:r>
        <w:rPr>
          <w:rFonts w:hint="eastAsia" w:ascii="黑体" w:hAnsi="黑体" w:eastAsia="黑体" w:cs="黑体"/>
          <w:b w:val="0"/>
          <w:bCs w:val="0"/>
          <w:sz w:val="32"/>
          <w:szCs w:val="32"/>
        </w:rPr>
        <w:t>三亚市吉阳区</w:t>
      </w:r>
      <w:r>
        <w:rPr>
          <w:rFonts w:hint="eastAsia" w:ascii="黑体" w:hAnsi="黑体" w:eastAsia="黑体" w:cs="黑体"/>
          <w:sz w:val="32"/>
          <w:szCs w:val="32"/>
          <w:lang w:val="en-US" w:eastAsia="zh-CN"/>
        </w:rPr>
        <w:t>卓达大社区综合服务中心</w:t>
      </w:r>
      <w:r>
        <w:rPr>
          <w:rFonts w:hint="eastAsia" w:ascii="黑体" w:hAnsi="黑体" w:eastAsia="黑体" w:cs="黑体"/>
          <w:b w:val="0"/>
          <w:bCs w:val="0"/>
          <w:sz w:val="32"/>
          <w:szCs w:val="32"/>
          <w:lang w:val="en-US" w:eastAsia="zh-CN"/>
        </w:rPr>
        <w:t>2024</w:t>
      </w:r>
      <w:r>
        <w:rPr>
          <w:rFonts w:hint="eastAsia" w:ascii="黑体" w:hAnsi="黑体" w:eastAsia="黑体" w:cs="黑体"/>
          <w:b w:val="0"/>
          <w:bCs w:val="0"/>
          <w:sz w:val="32"/>
          <w:szCs w:val="32"/>
        </w:rPr>
        <w:t>年</w:t>
      </w:r>
      <w:r>
        <w:rPr>
          <w:rFonts w:hint="eastAsia" w:ascii="黑体" w:hAnsi="黑体" w:eastAsia="黑体" w:cs="黑体"/>
          <w:b w:val="0"/>
          <w:bCs w:val="0"/>
          <w:sz w:val="32"/>
          <w:szCs w:val="32"/>
          <w:lang w:eastAsia="zh-CN"/>
        </w:rPr>
        <w:t>部门</w:t>
      </w:r>
      <w:r>
        <w:rPr>
          <w:rFonts w:hint="eastAsia" w:ascii="黑体" w:hAnsi="黑体" w:eastAsia="黑体" w:cs="黑体"/>
          <w:b w:val="0"/>
          <w:bCs w:val="0"/>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三亚市吉阳区</w:t>
      </w:r>
      <w:r>
        <w:rPr>
          <w:rFonts w:hint="eastAsia" w:ascii="黑体" w:hAnsi="黑体" w:eastAsia="黑体" w:cs="黑体"/>
          <w:sz w:val="32"/>
          <w:szCs w:val="32"/>
          <w:lang w:val="en-US" w:eastAsia="zh-CN"/>
        </w:rPr>
        <w:t>卓达大社区综合服务中心</w:t>
      </w:r>
      <w:r>
        <w:rPr>
          <w:rFonts w:hint="eastAsia" w:ascii="黑体" w:hAnsi="黑体" w:eastAsia="黑体" w:cs="黑体"/>
          <w:sz w:val="32"/>
          <w:szCs w:val="32"/>
        </w:rPr>
        <w:t>概况</w:t>
      </w:r>
    </w:p>
    <w:p>
      <w:pPr>
        <w:jc w:val="left"/>
        <w:rPr>
          <w:rFonts w:ascii="仿宋_GB2312" w:hAnsi="仿宋_GB2312" w:eastAsia="仿宋_GB2312" w:cs="仿宋_GB2312"/>
          <w:sz w:val="32"/>
          <w:szCs w:val="32"/>
        </w:rPr>
      </w:pPr>
    </w:p>
    <w:p>
      <w:pPr>
        <w:pStyle w:val="6"/>
        <w:numPr>
          <w:ilvl w:val="-1"/>
          <w:numId w:val="0"/>
        </w:numPr>
        <w:ind w:left="0" w:firstLine="0" w:firstLineChars="0"/>
        <w:jc w:val="left"/>
        <w:rPr>
          <w:rFonts w:ascii="黑体" w:hAnsi="黑体" w:eastAsia="黑体" w:cs="仿宋_GB2312"/>
          <w:sz w:val="32"/>
          <w:szCs w:val="32"/>
        </w:rPr>
      </w:pPr>
      <w:r>
        <w:rPr>
          <w:rFonts w:hint="eastAsia" w:ascii="黑体" w:hAnsi="黑体" w:eastAsia="黑体" w:cs="仿宋_GB2312"/>
          <w:sz w:val="32"/>
          <w:szCs w:val="32"/>
          <w:lang w:val="en-US" w:eastAsia="zh-CN"/>
        </w:rPr>
        <w:t xml:space="preserve">   </w:t>
      </w:r>
      <w:r>
        <w:rPr>
          <w:rFonts w:hint="eastAsia" w:ascii="黑体" w:hAnsi="黑体" w:eastAsia="黑体" w:cs="仿宋_GB2312"/>
          <w:color w:val="000000" w:themeColor="text1"/>
          <w:sz w:val="32"/>
          <w:szCs w:val="32"/>
          <w:lang w:val="en-US" w:eastAsia="zh-CN"/>
          <w14:textFill>
            <w14:solidFill>
              <w14:schemeClr w14:val="tx1"/>
            </w14:solidFill>
          </w14:textFill>
        </w:rPr>
        <w:t xml:space="preserve"> 一、</w:t>
      </w:r>
      <w:r>
        <w:rPr>
          <w:rFonts w:hint="eastAsia" w:ascii="黑体" w:hAnsi="黑体" w:eastAsia="黑体" w:cs="仿宋_GB2312"/>
          <w:sz w:val="32"/>
          <w:szCs w:val="32"/>
        </w:rPr>
        <w:t>主要职能</w:t>
      </w:r>
    </w:p>
    <w:p>
      <w:pPr>
        <w:pStyle w:val="6"/>
        <w:numPr>
          <w:ilvl w:val="0"/>
          <w:numId w:val="0"/>
        </w:numPr>
        <w:ind w:left="630" w:leftChars="0"/>
        <w:jc w:val="left"/>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sz w:val="32"/>
          <w:szCs w:val="32"/>
          <w:lang w:val="en-US" w:eastAsia="zh-CN"/>
        </w:rPr>
        <w:t>（一）加强党的建设。加强基层服务型党组织建设，发展党的政治组织优势和领导核心作用；探索党建与基层社会治理深度融合的途径和载体，推动党支部或党小组建在网格上，党组织嵌入各类社会基层组织，构建条块协同，上下联动，共建共享的基层党建工作格局。</w:t>
      </w:r>
    </w:p>
    <w:p>
      <w:pPr>
        <w:pStyle w:val="6"/>
        <w:numPr>
          <w:ilvl w:val="0"/>
          <w:numId w:val="0"/>
        </w:numPr>
        <w:ind w:left="630" w:leftChars="0"/>
        <w:jc w:val="left"/>
        <w:rPr>
          <w:rFonts w:ascii="仿宋_GB2312" w:hAnsi="黑体" w:eastAsia="仿宋_GB2312" w:cs="仿宋_GB2312"/>
          <w:sz w:val="32"/>
          <w:szCs w:val="32"/>
        </w:rPr>
      </w:pPr>
      <w:r>
        <w:rPr>
          <w:rFonts w:hint="eastAsia" w:ascii="仿宋_GB2312" w:hAnsi="黑体" w:eastAsia="仿宋_GB2312" w:cs="仿宋_GB2312"/>
          <w:kern w:val="2"/>
          <w:sz w:val="32"/>
          <w:szCs w:val="32"/>
          <w:lang w:val="en-US" w:eastAsia="zh-CN" w:bidi="ar-SA"/>
        </w:rPr>
        <w:t>（二）</w:t>
      </w:r>
      <w:r>
        <w:rPr>
          <w:rFonts w:hint="eastAsia" w:ascii="仿宋_GB2312" w:hAnsi="黑体" w:eastAsia="仿宋_GB2312" w:cs="仿宋_GB2312"/>
          <w:sz w:val="32"/>
          <w:szCs w:val="32"/>
          <w:lang w:val="en-US" w:eastAsia="zh-CN"/>
        </w:rPr>
        <w:t>组织公共服务。开展与城乡居民密切相关的公共服务，推动实现“便民全覆盖、服务零距离”。</w:t>
      </w:r>
    </w:p>
    <w:p>
      <w:pPr>
        <w:pStyle w:val="6"/>
        <w:numPr>
          <w:ilvl w:val="0"/>
          <w:numId w:val="0"/>
        </w:numPr>
        <w:ind w:left="630" w:leftChars="0"/>
        <w:jc w:val="left"/>
        <w:rPr>
          <w:rFonts w:ascii="仿宋_GB2312" w:hAnsi="黑体" w:eastAsia="仿宋_GB2312" w:cs="仿宋_GB2312"/>
          <w:sz w:val="32"/>
          <w:szCs w:val="32"/>
        </w:rPr>
      </w:pPr>
      <w:r>
        <w:rPr>
          <w:rFonts w:hint="eastAsia" w:ascii="仿宋_GB2312" w:hAnsi="黑体" w:eastAsia="仿宋_GB2312" w:cs="仿宋_GB2312"/>
          <w:kern w:val="2"/>
          <w:sz w:val="32"/>
          <w:szCs w:val="32"/>
          <w:lang w:val="en-US" w:eastAsia="zh-CN" w:bidi="ar-SA"/>
        </w:rPr>
        <w:t>（三）</w:t>
      </w:r>
      <w:r>
        <w:rPr>
          <w:rFonts w:hint="eastAsia" w:ascii="仿宋_GB2312" w:hAnsi="黑体" w:eastAsia="仿宋_GB2312" w:cs="仿宋_GB2312"/>
          <w:sz w:val="32"/>
          <w:szCs w:val="32"/>
          <w:lang w:val="en-US" w:eastAsia="zh-CN"/>
        </w:rPr>
        <w:t>开展社会治理。关口前移、重心下移，推进网格化服务管理标准化、精细化、智能化；开展公共法律服务，配备法律顾问，进行法制宣传教育，引导群众依法表达诉求、解决纠纷、维护权益；建立社会排查预警机制，及时发现不稳定风险隐患。</w:t>
      </w:r>
    </w:p>
    <w:p>
      <w:pPr>
        <w:pStyle w:val="6"/>
        <w:numPr>
          <w:ilvl w:val="0"/>
          <w:numId w:val="0"/>
        </w:numPr>
        <w:ind w:left="630" w:leftChars="0"/>
        <w:jc w:val="left"/>
        <w:rPr>
          <w:rFonts w:ascii="仿宋_GB2312" w:hAnsi="黑体" w:eastAsia="仿宋_GB2312" w:cs="仿宋_GB2312"/>
          <w:sz w:val="32"/>
          <w:szCs w:val="32"/>
        </w:rPr>
      </w:pPr>
      <w:r>
        <w:rPr>
          <w:rFonts w:hint="eastAsia" w:ascii="仿宋_GB2312" w:hAnsi="黑体" w:eastAsia="仿宋_GB2312" w:cs="仿宋_GB2312"/>
          <w:kern w:val="2"/>
          <w:sz w:val="32"/>
          <w:szCs w:val="32"/>
          <w:lang w:val="en-US" w:eastAsia="zh-CN" w:bidi="ar-SA"/>
        </w:rPr>
        <w:t>（四）</w:t>
      </w:r>
      <w:r>
        <w:rPr>
          <w:rFonts w:hint="eastAsia" w:ascii="仿宋_GB2312" w:hAnsi="黑体" w:eastAsia="仿宋_GB2312" w:cs="仿宋_GB2312"/>
          <w:sz w:val="32"/>
          <w:szCs w:val="32"/>
          <w:lang w:val="en-US" w:eastAsia="zh-CN"/>
        </w:rPr>
        <w:t>培育社会组织。支持和发展社会工作服务机构和志愿服务组织，搭建参与平台，建立激励保障机制，引导社会组织和志愿者提供特色、专业</w:t>
      </w:r>
      <w:bookmarkStart w:id="0" w:name="_GoBack"/>
      <w:bookmarkEnd w:id="0"/>
      <w:r>
        <w:rPr>
          <w:rFonts w:hint="eastAsia" w:ascii="仿宋_GB2312" w:hAnsi="黑体" w:eastAsia="仿宋_GB2312" w:cs="仿宋_GB2312"/>
          <w:sz w:val="32"/>
          <w:szCs w:val="32"/>
          <w:lang w:val="en-US" w:eastAsia="zh-CN"/>
        </w:rPr>
        <w:t>服务；发挥群团组织的桥梁纽带作用，参与志愿行动、认领公益项目。</w:t>
      </w:r>
    </w:p>
    <w:p>
      <w:pPr>
        <w:pStyle w:val="6"/>
        <w:numPr>
          <w:ilvl w:val="0"/>
          <w:numId w:val="0"/>
        </w:numPr>
        <w:ind w:left="630" w:leftChars="0"/>
        <w:jc w:val="left"/>
        <w:rPr>
          <w:rFonts w:ascii="仿宋_GB2312" w:hAnsi="黑体" w:eastAsia="仿宋_GB2312" w:cs="仿宋_GB2312"/>
          <w:sz w:val="32"/>
          <w:szCs w:val="32"/>
        </w:rPr>
      </w:pPr>
      <w:r>
        <w:rPr>
          <w:rFonts w:hint="eastAsia" w:ascii="仿宋_GB2312" w:hAnsi="黑体" w:eastAsia="仿宋_GB2312" w:cs="仿宋_GB2312"/>
          <w:kern w:val="2"/>
          <w:sz w:val="32"/>
          <w:szCs w:val="32"/>
          <w:lang w:val="en-US" w:eastAsia="zh-CN" w:bidi="ar-SA"/>
        </w:rPr>
        <w:t>（五）</w:t>
      </w:r>
      <w:r>
        <w:rPr>
          <w:rFonts w:hint="eastAsia" w:ascii="仿宋_GB2312" w:hAnsi="黑体" w:eastAsia="仿宋_GB2312" w:cs="仿宋_GB2312"/>
          <w:sz w:val="32"/>
          <w:szCs w:val="32"/>
          <w:lang w:val="en-US" w:eastAsia="zh-CN"/>
        </w:rPr>
        <w:t>进行德治教化。大力弘扬和践行社会主义核心价值观开展向信念、中国特色社会主义理论和中国梦宣传教育，动员激励城乡居民积极投身社会主义现代化建设，开展健康向上的文体活动。</w:t>
      </w:r>
    </w:p>
    <w:p>
      <w:pPr>
        <w:pStyle w:val="6"/>
        <w:numPr>
          <w:ilvl w:val="0"/>
          <w:numId w:val="0"/>
        </w:numPr>
        <w:ind w:left="630" w:leftChars="0"/>
        <w:jc w:val="both"/>
        <w:rPr>
          <w:rFonts w:ascii="仿宋_GB2312" w:hAnsi="黑体" w:eastAsia="仿宋_GB2312" w:cs="仿宋_GB2312"/>
          <w:sz w:val="32"/>
          <w:szCs w:val="32"/>
        </w:rPr>
      </w:pPr>
      <w:r>
        <w:rPr>
          <w:rFonts w:hint="eastAsia" w:ascii="仿宋_GB2312" w:hAnsi="黑体" w:eastAsia="仿宋_GB2312" w:cs="仿宋_GB2312"/>
          <w:kern w:val="2"/>
          <w:sz w:val="32"/>
          <w:szCs w:val="32"/>
          <w:lang w:val="en-US" w:eastAsia="zh-CN" w:bidi="ar-SA"/>
        </w:rPr>
        <w:t>（六）指导群众自治。支持居委会依法履行自治管理职能引导大社区、村（社区、居）各类群众团队活动健康发展；搭建各类协商平台，支持开展形式多样的基层民主协商活动。</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sz w:val="32"/>
          <w:szCs w:val="32"/>
          <w:lang w:val="en-US" w:eastAsia="zh-CN"/>
        </w:rPr>
      </w:pPr>
      <w:r>
        <w:rPr>
          <w:rFonts w:hint="eastAsia" w:ascii="仿宋_GB2312" w:hAnsi="黑体" w:eastAsia="仿宋_GB2312" w:cs="仿宋_GB2312"/>
          <w:kern w:val="2"/>
          <w:sz w:val="32"/>
          <w:szCs w:val="32"/>
          <w:lang w:val="en-US" w:eastAsia="zh-CN" w:bidi="ar-SA"/>
        </w:rPr>
        <w:t>（七）</w:t>
      </w:r>
      <w:r>
        <w:rPr>
          <w:rFonts w:hint="eastAsia" w:ascii="仿宋_GB2312" w:hAnsi="黑体" w:eastAsia="仿宋_GB2312" w:cs="仿宋_GB2312"/>
          <w:sz w:val="32"/>
          <w:szCs w:val="32"/>
          <w:lang w:val="en-US" w:eastAsia="zh-CN"/>
        </w:rPr>
        <w:t>完成市委市政府、区委区政府交办的其他工作。市、区人民政府有权调整大社区综合服务中心的公共服务范围和管理职责、建立准入机制、实施动态清单式管理。</w:t>
      </w:r>
    </w:p>
    <w:p>
      <w:pPr>
        <w:pStyle w:val="6"/>
        <w:numPr>
          <w:ilvl w:val="-1"/>
          <w:numId w:val="0"/>
        </w:numPr>
        <w:ind w:left="0" w:firstLine="0" w:firstLineChars="0"/>
        <w:jc w:val="left"/>
        <w:rPr>
          <w:rFonts w:ascii="黑体" w:hAnsi="黑体" w:eastAsia="黑体" w:cs="仿宋_GB2312"/>
          <w:sz w:val="32"/>
          <w:szCs w:val="32"/>
        </w:rPr>
      </w:pPr>
      <w:r>
        <w:rPr>
          <w:rFonts w:hint="eastAsia" w:ascii="黑体" w:hAnsi="黑体" w:eastAsia="黑体" w:cs="仿宋_GB2312"/>
          <w:sz w:val="32"/>
          <w:szCs w:val="32"/>
          <w:lang w:val="en-US" w:eastAsia="zh-CN"/>
        </w:rPr>
        <w:t>二、</w:t>
      </w:r>
      <w:r>
        <w:rPr>
          <w:rFonts w:hint="eastAsia" w:ascii="黑体" w:hAnsi="黑体" w:eastAsia="黑体" w:cs="仿宋_GB2312"/>
          <w:sz w:val="32"/>
          <w:szCs w:val="32"/>
        </w:rPr>
        <w:t>部门预算单位构成</w:t>
      </w:r>
    </w:p>
    <w:p>
      <w:pPr>
        <w:ind w:firstLine="800" w:firstLineChars="25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纳入三亚市吉阳区卓达大社区综合服务中心2024年部门预算编制范围的二级预算单位包括：</w:t>
      </w:r>
    </w:p>
    <w:p>
      <w:pPr>
        <w:ind w:firstLine="800" w:firstLineChars="25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1.三亚市吉阳区卓达大社区综合服务中心本级</w:t>
      </w:r>
      <w:r>
        <w:rPr>
          <w:rFonts w:hint="eastAsia" w:ascii="黑体" w:hAnsi="黑体" w:eastAsia="黑体" w:cs="仿宋_GB2312"/>
          <w:sz w:val="32"/>
          <w:szCs w:val="32"/>
          <w:lang w:val="en-US" w:eastAsia="zh-CN"/>
        </w:rPr>
        <w:t xml:space="preserve">    </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三亚市吉阳区</w:t>
      </w:r>
      <w:r>
        <w:rPr>
          <w:rFonts w:hint="eastAsia" w:ascii="黑体" w:hAnsi="黑体" w:eastAsia="黑体" w:cs="黑体"/>
          <w:sz w:val="32"/>
          <w:szCs w:val="32"/>
          <w:lang w:val="en-US" w:eastAsia="zh-CN"/>
        </w:rPr>
        <w:t>卓达大社区综合服务中心2024</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w:t>
      </w:r>
      <w:r>
        <w:rPr>
          <w:rFonts w:hint="eastAsia" w:ascii="仿宋_GB2312" w:hAnsi="黑体" w:eastAsia="仿宋_GB2312"/>
          <w:b/>
          <w:sz w:val="32"/>
          <w:szCs w:val="32"/>
          <w:lang w:eastAsia="zh-CN"/>
        </w:rPr>
        <w:t>部门</w:t>
      </w:r>
      <w:r>
        <w:rPr>
          <w:rFonts w:hint="eastAsia" w:ascii="仿宋_GB2312" w:hAnsi="黑体" w:eastAsia="仿宋_GB2312"/>
          <w:b/>
          <w:sz w:val="32"/>
          <w:szCs w:val="32"/>
        </w:rPr>
        <w:t>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rPr>
        <w:t>三亚市吉阳区</w:t>
      </w:r>
      <w:r>
        <w:rPr>
          <w:rFonts w:hint="eastAsia" w:ascii="黑体" w:hAnsi="黑体" w:eastAsia="黑体" w:cs="黑体"/>
          <w:sz w:val="32"/>
          <w:szCs w:val="32"/>
          <w:lang w:val="en-US" w:eastAsia="zh-CN"/>
        </w:rPr>
        <w:t>卓达大社区综合服务中心2024</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三亚市吉阳区</w:t>
      </w:r>
      <w:r>
        <w:rPr>
          <w:rFonts w:hint="eastAsia" w:ascii="黑体" w:hAnsi="黑体" w:eastAsia="黑体" w:cs="黑体"/>
          <w:sz w:val="32"/>
          <w:szCs w:val="32"/>
          <w:lang w:val="en-US" w:eastAsia="zh-CN"/>
        </w:rPr>
        <w:t>卓达大社区综合服务中心2024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lang w:val="en-US" w:eastAsia="zh-CN"/>
        </w:rPr>
        <w:t>三亚市吉阳区卓达大社区综合服务中心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303.79</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303.79</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303.79</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303.79</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社会保障和就业</w:t>
      </w:r>
      <w:r>
        <w:rPr>
          <w:rFonts w:hint="eastAsia" w:ascii="仿宋_GB2312" w:hAnsi="黑体" w:eastAsia="仿宋_GB2312"/>
          <w:sz w:val="32"/>
          <w:szCs w:val="32"/>
        </w:rPr>
        <w:t>支出</w:t>
      </w:r>
      <w:r>
        <w:rPr>
          <w:rFonts w:hint="eastAsia" w:ascii="仿宋_GB2312" w:hAnsi="黑体" w:eastAsia="仿宋_GB2312"/>
          <w:sz w:val="32"/>
          <w:szCs w:val="32"/>
          <w:lang w:val="en-US" w:eastAsia="zh-CN"/>
        </w:rPr>
        <w:t>303.79</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卫生健康</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农林水支出0万元、住房保障支出0万元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三亚市吉阳区</w:t>
      </w:r>
      <w:r>
        <w:rPr>
          <w:rFonts w:hint="eastAsia" w:ascii="黑体" w:hAnsi="黑体" w:eastAsia="黑体" w:cs="黑体"/>
          <w:sz w:val="32"/>
          <w:szCs w:val="32"/>
          <w:lang w:val="en-US" w:eastAsia="zh-CN"/>
        </w:rPr>
        <w:t>卓达大社区综合服务中心2024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303.79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增加4.2</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新增单位维修维护经费，用于单位未成年活动室及文化活动室。</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val="en-US" w:eastAsia="zh-CN"/>
        </w:rPr>
        <w:t>社会保障和就业</w:t>
      </w:r>
      <w:r>
        <w:rPr>
          <w:rFonts w:hint="eastAsia" w:ascii="仿宋_GB2312" w:hAnsi="黑体" w:eastAsia="仿宋_GB2312"/>
          <w:sz w:val="32"/>
          <w:szCs w:val="32"/>
        </w:rPr>
        <w:t>（类）民政管理事务</w:t>
      </w:r>
      <w:r>
        <w:rPr>
          <w:rFonts w:hint="eastAsia" w:ascii="仿宋_GB2312" w:hAnsi="黑体" w:eastAsia="仿宋_GB2312"/>
          <w:sz w:val="32"/>
          <w:szCs w:val="32"/>
          <w:lang w:eastAsia="zh-CN"/>
        </w:rPr>
        <w:t>（款）基层政权建设和社区治理（项）</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303.79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val="en-US" w:eastAsia="zh-CN"/>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val="en-US" w:eastAsia="zh-CN"/>
        </w:rPr>
        <w:t>农林水</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val="en-US" w:eastAsia="zh-CN"/>
        </w:rPr>
        <w:t>住房保障</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1</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val="en-US"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民政管理事务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val="en-US" w:eastAsia="zh-CN"/>
        </w:rPr>
        <w:t>基层政权建设和社区治理</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303.79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增加4.2</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新增单位维修维护经费，用于单位未成年活动室及文化活动室</w:t>
      </w:r>
      <w:r>
        <w:rPr>
          <w:rFonts w:hint="eastAsia" w:ascii="仿宋_GB2312" w:hAnsi="黑体" w:eastAsia="仿宋_GB2312"/>
          <w:sz w:val="32"/>
          <w:szCs w:val="32"/>
          <w:lang w:eastAsia="zh-CN"/>
        </w:rPr>
        <w:t>。</w:t>
      </w:r>
    </w:p>
    <w:p>
      <w:pPr>
        <w:ind w:firstLine="640"/>
        <w:rPr>
          <w:rFonts w:hint="eastAsia" w:ascii="黑体" w:hAnsi="黑体" w:eastAsia="黑体" w:cs="黑体"/>
          <w:sz w:val="32"/>
          <w:szCs w:val="32"/>
        </w:rPr>
      </w:pPr>
      <w:r>
        <w:rPr>
          <w:rFonts w:hint="eastAsia" w:ascii="黑体" w:hAnsi="黑体" w:eastAsia="黑体"/>
          <w:sz w:val="32"/>
          <w:szCs w:val="32"/>
        </w:rPr>
        <w:t>三、</w:t>
      </w:r>
      <w:r>
        <w:rPr>
          <w:rFonts w:hint="eastAsia" w:ascii="黑体" w:hAnsi="黑体" w:eastAsia="黑体" w:cs="黑体"/>
          <w:sz w:val="32"/>
          <w:szCs w:val="32"/>
        </w:rPr>
        <w:t>关于三亚市吉阳区</w:t>
      </w:r>
      <w:r>
        <w:rPr>
          <w:rFonts w:hint="eastAsia" w:ascii="黑体" w:hAnsi="黑体" w:eastAsia="黑体" w:cs="黑体"/>
          <w:sz w:val="32"/>
          <w:szCs w:val="32"/>
          <w:lang w:val="en-US" w:eastAsia="zh-CN"/>
        </w:rPr>
        <w:t>卓达大社区综合服务中心2024</w:t>
      </w:r>
      <w:r>
        <w:rPr>
          <w:rFonts w:hint="eastAsia" w:ascii="黑体" w:hAnsi="黑体" w:eastAsia="黑体" w:cs="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val="en-US" w:eastAsia="zh-CN"/>
        </w:rPr>
        <w:t>绩效工资、</w:t>
      </w:r>
      <w:r>
        <w:rPr>
          <w:rFonts w:hint="eastAsia" w:ascii="仿宋_GB2312" w:hAnsi="黑体" w:eastAsia="仿宋_GB2312"/>
          <w:sz w:val="32"/>
          <w:szCs w:val="32"/>
        </w:rPr>
        <w:t>机关事业单位基本养老保险缴费、职工基本医疗保险缴费、公务员医疗补助缴费、住房公积金</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邮电费</w:t>
      </w:r>
      <w:r>
        <w:rPr>
          <w:rFonts w:hint="eastAsia" w:ascii="仿宋_GB2312" w:hAnsi="黑体" w:eastAsia="仿宋_GB2312"/>
          <w:sz w:val="32"/>
          <w:szCs w:val="32"/>
          <w:lang w:eastAsia="zh-CN"/>
        </w:rPr>
        <w:t>；</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主要包括：</w:t>
      </w:r>
      <w:r>
        <w:rPr>
          <w:rFonts w:hint="eastAsia" w:ascii="仿宋_GB2312" w:hAnsi="黑体" w:eastAsia="仿宋_GB2312"/>
          <w:sz w:val="32"/>
          <w:szCs w:val="32"/>
        </w:rPr>
        <w:t>办公费、培训费、工会经费、福利费、公务用车运行维护费。</w:t>
      </w:r>
    </w:p>
    <w:p>
      <w:pPr>
        <w:ind w:firstLine="640" w:firstLineChars="200"/>
        <w:rPr>
          <w:rFonts w:hint="eastAsia" w:ascii="黑体" w:hAnsi="黑体" w:eastAsia="黑体" w:cs="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rPr>
        <w:t>三亚市吉阳区</w:t>
      </w:r>
      <w:r>
        <w:rPr>
          <w:rFonts w:hint="eastAsia" w:ascii="黑体" w:hAnsi="黑体" w:eastAsia="黑体" w:cs="黑体"/>
          <w:sz w:val="32"/>
          <w:szCs w:val="32"/>
          <w:lang w:val="en-US" w:eastAsia="zh-CN"/>
        </w:rPr>
        <w:t>卓达大社区综合服务中心</w:t>
      </w:r>
      <w:r>
        <w:rPr>
          <w:rFonts w:hint="eastAsia" w:ascii="黑体" w:hAnsi="黑体" w:eastAsia="黑体" w:cs="黑体"/>
          <w:sz w:val="32"/>
          <w:szCs w:val="32"/>
        </w:rPr>
        <w:t>202</w:t>
      </w:r>
      <w:r>
        <w:rPr>
          <w:rFonts w:hint="eastAsia" w:ascii="黑体" w:hAnsi="黑体" w:eastAsia="黑体" w:cs="黑体"/>
          <w:sz w:val="32"/>
          <w:szCs w:val="32"/>
          <w:lang w:val="en-US" w:eastAsia="zh-CN"/>
        </w:rPr>
        <w:t>4</w:t>
      </w:r>
      <w:r>
        <w:rPr>
          <w:rFonts w:hint="eastAsia" w:ascii="黑体" w:hAnsi="黑体" w:eastAsia="黑体" w:cs="黑体"/>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val="en-US" w:eastAsia="zh-CN"/>
        </w:rPr>
        <w:t>持平</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spacing w:line="578" w:lineRule="exact"/>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val="en-US" w:eastAsia="zh-CN"/>
        </w:rPr>
        <w:t>卓达大社区综合服务中心</w:t>
      </w:r>
      <w:r>
        <w:rPr>
          <w:rFonts w:hint="eastAsia" w:ascii="黑体" w:hAnsi="黑体" w:eastAsia="黑体" w:cs="Times New Roman"/>
          <w:sz w:val="32"/>
          <w:szCs w:val="22"/>
          <w:shd w:val="clear" w:color="auto" w:fill="FFFFFF"/>
        </w:rPr>
        <w:t>202</w:t>
      </w:r>
      <w:r>
        <w:rPr>
          <w:rFonts w:hint="eastAsia" w:ascii="黑体" w:hAnsi="黑体" w:eastAsia="黑体" w:cs="Times New Roman"/>
          <w:sz w:val="32"/>
          <w:szCs w:val="22"/>
          <w:shd w:val="clear" w:color="auto" w:fill="FFFFFF"/>
          <w:lang w:val="en-US" w:eastAsia="zh-CN"/>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val="en-US" w:eastAsia="zh-CN"/>
        </w:rPr>
        <w:t>卓达大社区综合服务中心</w:t>
      </w:r>
      <w:r>
        <w:rPr>
          <w:rFonts w:hint="eastAsia" w:ascii="黑体" w:hAnsi="黑体" w:eastAsia="黑体" w:cs="Times New Roman"/>
          <w:sz w:val="32"/>
          <w:szCs w:val="22"/>
          <w:shd w:val="clear" w:color="auto" w:fill="FFFFFF"/>
        </w:rPr>
        <w:t>202</w:t>
      </w:r>
      <w:r>
        <w:rPr>
          <w:rFonts w:hint="eastAsia" w:ascii="黑体" w:hAnsi="黑体" w:eastAsia="黑体" w:cs="Times New Roman"/>
          <w:sz w:val="32"/>
          <w:szCs w:val="22"/>
          <w:shd w:val="clear" w:color="auto" w:fill="FFFFFF"/>
          <w:lang w:val="en-US" w:eastAsia="zh-CN"/>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；支出包括：一般公共服务支出、</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rPr>
        <w:t>、</w:t>
      </w:r>
      <w:r>
        <w:rPr>
          <w:rFonts w:hint="eastAsia" w:ascii="仿宋_GB2312" w:hAnsi="黑体" w:eastAsia="仿宋_GB2312"/>
          <w:sz w:val="32"/>
          <w:szCs w:val="32"/>
          <w:lang w:val="en-US" w:eastAsia="zh-CN"/>
        </w:rPr>
        <w:t>农林水支出、</w:t>
      </w:r>
      <w:r>
        <w:rPr>
          <w:rFonts w:hint="eastAsia" w:ascii="仿宋_GB2312" w:hAnsi="黑体" w:eastAsia="仿宋_GB2312"/>
          <w:sz w:val="32"/>
          <w:szCs w:val="32"/>
          <w:lang w:eastAsia="zh-CN"/>
        </w:rPr>
        <w:t>住房保障支出</w:t>
      </w:r>
      <w:r>
        <w:rPr>
          <w:rFonts w:hint="eastAsia" w:ascii="仿宋_GB2312" w:hAnsi="黑体" w:eastAsia="仿宋_GB2312"/>
          <w:sz w:val="32"/>
          <w:szCs w:val="32"/>
        </w:rPr>
        <w:t>。三亚市吉阳区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303.79</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val="en-US" w:eastAsia="zh-CN"/>
        </w:rPr>
        <w:t>卓达大社区综合服务中心</w:t>
      </w:r>
      <w:r>
        <w:rPr>
          <w:rFonts w:hint="eastAsia" w:ascii="黑体" w:hAnsi="黑体" w:eastAsia="黑体" w:cs="Times New Roman"/>
          <w:sz w:val="32"/>
          <w:szCs w:val="22"/>
          <w:shd w:val="clear" w:color="auto" w:fill="FFFFFF"/>
        </w:rPr>
        <w:t>202</w:t>
      </w:r>
      <w:r>
        <w:rPr>
          <w:rFonts w:hint="eastAsia" w:ascii="黑体" w:hAnsi="黑体" w:eastAsia="黑体" w:cs="Times New Roman"/>
          <w:sz w:val="32"/>
          <w:szCs w:val="22"/>
          <w:shd w:val="clear" w:color="auto" w:fill="FFFFFF"/>
          <w:lang w:val="en-US" w:eastAsia="zh-CN"/>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303.79</w:t>
      </w:r>
      <w:r>
        <w:rPr>
          <w:rFonts w:hint="eastAsia" w:ascii="仿宋_GB2312" w:hAnsi="黑体" w:eastAsia="仿宋_GB2312"/>
          <w:sz w:val="32"/>
          <w:szCs w:val="32"/>
        </w:rPr>
        <w:t>万元，其中：一般公共预算拨款收入</w:t>
      </w:r>
      <w:r>
        <w:rPr>
          <w:rFonts w:hint="eastAsia" w:ascii="仿宋_GB2312" w:hAnsi="黑体" w:eastAsia="仿宋_GB2312" w:cs="仿宋_GB2312"/>
          <w:sz w:val="32"/>
          <w:szCs w:val="32"/>
          <w:lang w:val="en-US" w:eastAsia="zh-CN"/>
        </w:rPr>
        <w:t>303.79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增加4.2</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新增单位维修维护经费，用于单位未成年活动室及文化活动室</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val="en-US" w:eastAsia="zh-CN"/>
        </w:rPr>
        <w:t>卓达大社区综合服务中心</w:t>
      </w:r>
      <w:r>
        <w:rPr>
          <w:rFonts w:hint="eastAsia" w:ascii="黑体" w:hAnsi="黑体" w:eastAsia="黑体" w:cs="Times New Roman"/>
          <w:sz w:val="32"/>
          <w:szCs w:val="22"/>
          <w:shd w:val="clear" w:color="auto" w:fill="FFFFFF"/>
        </w:rPr>
        <w:t>202</w:t>
      </w:r>
      <w:r>
        <w:rPr>
          <w:rFonts w:hint="eastAsia" w:ascii="黑体" w:hAnsi="黑体" w:eastAsia="黑体" w:cs="Times New Roman"/>
          <w:sz w:val="32"/>
          <w:szCs w:val="22"/>
          <w:shd w:val="clear" w:color="auto" w:fill="FFFFFF"/>
          <w:lang w:val="en-US" w:eastAsia="zh-CN"/>
        </w:rPr>
        <w:t>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303.79</w:t>
      </w:r>
      <w:r>
        <w:rPr>
          <w:rFonts w:hint="eastAsia" w:ascii="仿宋_GB2312" w:hAnsi="黑体" w:eastAsia="仿宋_GB2312"/>
          <w:sz w:val="32"/>
          <w:szCs w:val="32"/>
        </w:rPr>
        <w:t>元，其中：基本支出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303.79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增加4.2</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新增单位维修维护经费，用于单位未成年活动室及文化活动室</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cs="仿宋_GB2312"/>
          <w:sz w:val="32"/>
          <w:szCs w:val="32"/>
        </w:rPr>
        <w:t>部门本级的机关运行经费预算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val="en-US" w:eastAsia="zh-CN"/>
        </w:rPr>
        <w:t>卓达大社区综合服务中心</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宋体" w:eastAsia="仿宋_GB2312" w:cs="宋体"/>
          <w:color w:val="000000"/>
          <w:kern w:val="0"/>
          <w:sz w:val="32"/>
          <w:szCs w:val="30"/>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val="en-US" w:eastAsia="zh-CN"/>
        </w:rPr>
        <w:t>卓达大社区综合服务中心5</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303.79</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07921"/>
    <w:rsid w:val="0C3E3026"/>
    <w:rsid w:val="129C2D64"/>
    <w:rsid w:val="17BA4C94"/>
    <w:rsid w:val="17E02DAE"/>
    <w:rsid w:val="1B990972"/>
    <w:rsid w:val="208E31FA"/>
    <w:rsid w:val="2930098E"/>
    <w:rsid w:val="2D4F729C"/>
    <w:rsid w:val="33F43AD7"/>
    <w:rsid w:val="34490463"/>
    <w:rsid w:val="37B33B9D"/>
    <w:rsid w:val="3B6B5780"/>
    <w:rsid w:val="3DE44D8D"/>
    <w:rsid w:val="48B548F0"/>
    <w:rsid w:val="4B086C09"/>
    <w:rsid w:val="4CE63189"/>
    <w:rsid w:val="4D6E13EE"/>
    <w:rsid w:val="58530556"/>
    <w:rsid w:val="5B542FA9"/>
    <w:rsid w:val="672120DB"/>
    <w:rsid w:val="6A12132C"/>
    <w:rsid w:val="76AD108C"/>
    <w:rsid w:val="7DEBCAFF"/>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123</cp:lastModifiedBy>
  <dcterms:modified xsi:type="dcterms:W3CDTF">2024-02-07T02:44:54Z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B83987FED50E4A9AA492FEECB6C5E9AB</vt:lpwstr>
  </property>
</Properties>
</file>