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000000"/>
          <w:sz w:val="44"/>
          <w:szCs w:val="44"/>
          <w:highlight w:val="none"/>
          <w:lang w:eastAsia="zh-CN"/>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000000"/>
          <w:sz w:val="44"/>
          <w:szCs w:val="44"/>
          <w:highlight w:val="none"/>
        </w:rPr>
      </w:pPr>
      <w:r>
        <w:rPr>
          <w:rFonts w:hint="eastAsia" w:ascii="黑体" w:hAnsi="ˎ̥" w:eastAsia="黑体"/>
          <w:color w:val="000000"/>
          <w:sz w:val="44"/>
          <w:szCs w:val="44"/>
          <w:highlight w:val="none"/>
          <w:lang w:eastAsia="zh-CN"/>
        </w:rPr>
        <w:t>三亚市育才</w:t>
      </w:r>
      <w:r>
        <w:rPr>
          <w:rFonts w:hint="eastAsia" w:ascii="黑体" w:hAnsi="ˎ̥" w:eastAsia="黑体"/>
          <w:color w:val="000000"/>
          <w:sz w:val="44"/>
          <w:szCs w:val="44"/>
          <w:highlight w:val="none"/>
          <w:lang w:val="en-US" w:eastAsia="zh-CN"/>
        </w:rPr>
        <w:t>雅林</w:t>
      </w:r>
      <w:r>
        <w:rPr>
          <w:rFonts w:hint="eastAsia" w:ascii="黑体" w:hAnsi="ˎ̥" w:eastAsia="黑体"/>
          <w:color w:val="000000"/>
          <w:sz w:val="44"/>
          <w:szCs w:val="44"/>
          <w:highlight w:val="none"/>
          <w:lang w:eastAsia="zh-CN"/>
        </w:rPr>
        <w:t>小学</w:t>
      </w:r>
      <w:r>
        <w:rPr>
          <w:rFonts w:hint="eastAsia" w:ascii="黑体" w:hAnsi="ˎ̥" w:eastAsia="黑体"/>
          <w:color w:val="000000"/>
          <w:sz w:val="44"/>
          <w:szCs w:val="44"/>
          <w:highlight w:val="none"/>
        </w:rPr>
        <w:t>2022年度部门决算</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000000"/>
          <w:sz w:val="44"/>
          <w:szCs w:val="44"/>
          <w:highlight w:val="none"/>
        </w:rPr>
      </w:pPr>
      <w:r>
        <w:rPr>
          <w:rFonts w:hint="eastAsia" w:ascii="黑体" w:hAnsi="ˎ̥" w:eastAsia="黑体"/>
          <w:color w:val="000000"/>
          <w:sz w:val="44"/>
          <w:szCs w:val="44"/>
          <w:highlight w:val="none"/>
        </w:rPr>
        <w:t>公开</w:t>
      </w:r>
      <w:r>
        <w:rPr>
          <w:rFonts w:ascii="黑体" w:hAnsi="ˎ̥" w:eastAsia="黑体"/>
          <w:color w:val="000000"/>
          <w:sz w:val="44"/>
          <w:szCs w:val="44"/>
          <w:highlight w:val="none"/>
        </w:rPr>
        <w:t>报告</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b/>
          <w:color w:val="000000"/>
          <w:sz w:val="32"/>
          <w:szCs w:val="32"/>
          <w:highlight w:val="none"/>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000000"/>
          <w:sz w:val="44"/>
          <w:szCs w:val="44"/>
          <w:highlight w:val="none"/>
        </w:rPr>
      </w:pPr>
      <w:bookmarkStart w:id="0" w:name="_Toc11440_WPSOffice_Type2"/>
      <w:r>
        <w:rPr>
          <w:rFonts w:hint="eastAsia" w:ascii="黑体" w:hAnsi="黑体" w:eastAsia="黑体" w:cs="黑体"/>
          <w:color w:val="000000"/>
          <w:sz w:val="44"/>
          <w:szCs w:val="44"/>
          <w:highlight w:val="none"/>
        </w:rPr>
        <w:t>目  录</w:t>
      </w:r>
    </w:p>
    <w:p>
      <w:pPr>
        <w:pStyle w:val="5"/>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color w:val="000000"/>
          <w:sz w:val="32"/>
          <w:szCs w:val="32"/>
          <w:highlight w:val="none"/>
        </w:rPr>
      </w:pPr>
      <w:r>
        <w:rPr>
          <w:color w:val="000000"/>
          <w:sz w:val="32"/>
          <w:szCs w:val="32"/>
          <w:highlight w:val="none"/>
        </w:rPr>
        <w:fldChar w:fldCharType="begin"/>
      </w:r>
      <w:r>
        <w:rPr>
          <w:color w:val="000000"/>
          <w:sz w:val="32"/>
          <w:szCs w:val="32"/>
          <w:highlight w:val="none"/>
        </w:rPr>
        <w:instrText xml:space="preserve"> HYPERLINK \l _Toc1704_WPSOffice_Level1 </w:instrText>
      </w:r>
      <w:r>
        <w:rPr>
          <w:color w:val="000000"/>
          <w:sz w:val="32"/>
          <w:szCs w:val="32"/>
          <w:highlight w:val="none"/>
        </w:rPr>
        <w:fldChar w:fldCharType="separate"/>
      </w:r>
      <w:r>
        <w:rPr>
          <w:rFonts w:hint="eastAsia" w:ascii="黑体" w:hAnsi="ˎ̥" w:eastAsia="黑体"/>
          <w:color w:val="000000"/>
          <w:sz w:val="32"/>
          <w:szCs w:val="32"/>
          <w:highlight w:val="none"/>
        </w:rPr>
        <w:t>第一部分 基本情况</w:t>
      </w:r>
      <w:r>
        <w:rPr>
          <w:color w:val="000000"/>
          <w:sz w:val="32"/>
          <w:szCs w:val="32"/>
          <w:highlight w:val="none"/>
        </w:rPr>
        <w:tab/>
      </w:r>
      <w:r>
        <w:rPr>
          <w:rFonts w:hint="eastAsia"/>
          <w:color w:val="000000"/>
          <w:sz w:val="32"/>
          <w:szCs w:val="32"/>
          <w:highlight w:val="none"/>
          <w:lang w:val="en-US" w:eastAsia="zh-CN"/>
        </w:rPr>
        <w:t>2</w:t>
      </w:r>
      <w:r>
        <w:rPr>
          <w:color w:val="000000"/>
          <w:sz w:val="32"/>
          <w:szCs w:val="32"/>
          <w:highlight w:val="none"/>
        </w:rPr>
        <w:fldChar w:fldCharType="end"/>
      </w:r>
    </w:p>
    <w:p>
      <w:pPr>
        <w:pStyle w:val="6"/>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_Toc20274_WPSOffice_Level2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color w:val="000000"/>
          <w:sz w:val="32"/>
          <w:szCs w:val="32"/>
          <w:highlight w:val="none"/>
        </w:rPr>
        <w:t>一、部门</w:t>
      </w:r>
      <w:r>
        <w:rPr>
          <w:rFonts w:hint="eastAsia" w:ascii="仿宋" w:hAnsi="仿宋" w:eastAsia="仿宋" w:cs="仿宋"/>
          <w:color w:val="000000"/>
          <w:sz w:val="32"/>
          <w:szCs w:val="32"/>
          <w:highlight w:val="none"/>
          <w:lang w:eastAsia="zh-CN"/>
        </w:rPr>
        <w:t>（单位）</w:t>
      </w:r>
      <w:r>
        <w:rPr>
          <w:rFonts w:hint="eastAsia" w:ascii="仿宋" w:hAnsi="仿宋" w:eastAsia="仿宋" w:cs="仿宋"/>
          <w:color w:val="000000"/>
          <w:sz w:val="32"/>
          <w:szCs w:val="32"/>
          <w:highlight w:val="none"/>
        </w:rPr>
        <w:t>职责</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2</w:t>
      </w:r>
      <w:r>
        <w:rPr>
          <w:rFonts w:hint="eastAsia" w:ascii="仿宋" w:hAnsi="仿宋" w:eastAsia="仿宋" w:cs="仿宋"/>
          <w:color w:val="000000"/>
          <w:sz w:val="32"/>
          <w:szCs w:val="32"/>
          <w:highlight w:val="none"/>
        </w:rPr>
        <w:fldChar w:fldCharType="end"/>
      </w:r>
    </w:p>
    <w:p>
      <w:pPr>
        <w:pStyle w:val="6"/>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_Toc4833_WPSOffice_Level2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color w:val="000000"/>
          <w:sz w:val="32"/>
          <w:szCs w:val="32"/>
          <w:highlight w:val="none"/>
        </w:rPr>
        <w:t>二、机构设置</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2</w:t>
      </w:r>
      <w:r>
        <w:rPr>
          <w:rFonts w:hint="eastAsia" w:ascii="仿宋" w:hAnsi="仿宋" w:eastAsia="仿宋" w:cs="仿宋"/>
          <w:color w:val="000000"/>
          <w:sz w:val="32"/>
          <w:szCs w:val="32"/>
          <w:highlight w:val="none"/>
        </w:rPr>
        <w:fldChar w:fldCharType="end"/>
      </w:r>
    </w:p>
    <w:p>
      <w:pPr>
        <w:pStyle w:val="5"/>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color w:val="000000"/>
          <w:sz w:val="32"/>
          <w:szCs w:val="32"/>
          <w:highlight w:val="none"/>
        </w:rPr>
      </w:pPr>
      <w:r>
        <w:rPr>
          <w:color w:val="000000"/>
          <w:sz w:val="32"/>
          <w:szCs w:val="32"/>
          <w:highlight w:val="none"/>
        </w:rPr>
        <w:fldChar w:fldCharType="begin"/>
      </w:r>
      <w:r>
        <w:rPr>
          <w:color w:val="000000"/>
          <w:sz w:val="32"/>
          <w:szCs w:val="32"/>
          <w:highlight w:val="none"/>
        </w:rPr>
        <w:instrText xml:space="preserve"> HYPERLINK \l _Toc28253_WPSOffice_Level1 </w:instrText>
      </w:r>
      <w:r>
        <w:rPr>
          <w:color w:val="000000"/>
          <w:sz w:val="32"/>
          <w:szCs w:val="32"/>
          <w:highlight w:val="none"/>
        </w:rPr>
        <w:fldChar w:fldCharType="separate"/>
      </w:r>
      <w:r>
        <w:rPr>
          <w:rFonts w:hint="eastAsia" w:ascii="黑体" w:hAnsi="ˎ̥" w:eastAsia="黑体"/>
          <w:color w:val="000000"/>
          <w:sz w:val="32"/>
          <w:szCs w:val="32"/>
          <w:highlight w:val="none"/>
        </w:rPr>
        <w:t>第二部分  202</w:t>
      </w:r>
      <w:r>
        <w:rPr>
          <w:rFonts w:ascii="黑体" w:hAnsi="ˎ̥" w:eastAsia="黑体"/>
          <w:color w:val="000000"/>
          <w:sz w:val="32"/>
          <w:szCs w:val="32"/>
          <w:highlight w:val="none"/>
        </w:rPr>
        <w:t>2</w:t>
      </w:r>
      <w:r>
        <w:rPr>
          <w:rFonts w:hint="eastAsia" w:ascii="黑体" w:hAnsi="ˎ̥" w:eastAsia="黑体"/>
          <w:color w:val="000000"/>
          <w:sz w:val="32"/>
          <w:szCs w:val="32"/>
          <w:highlight w:val="none"/>
        </w:rPr>
        <w:t>年度部门决</w:t>
      </w:r>
      <w:bookmarkStart w:id="107" w:name="_GoBack"/>
      <w:bookmarkEnd w:id="107"/>
      <w:r>
        <w:rPr>
          <w:rFonts w:hint="eastAsia" w:ascii="黑体" w:hAnsi="ˎ̥" w:eastAsia="黑体"/>
          <w:color w:val="000000"/>
          <w:sz w:val="32"/>
          <w:szCs w:val="32"/>
          <w:highlight w:val="none"/>
        </w:rPr>
        <w:t>算公开表</w:t>
      </w:r>
      <w:r>
        <w:rPr>
          <w:color w:val="000000"/>
          <w:sz w:val="32"/>
          <w:szCs w:val="32"/>
          <w:highlight w:val="none"/>
        </w:rPr>
        <w:tab/>
      </w:r>
      <w:r>
        <w:rPr>
          <w:rFonts w:hint="eastAsia"/>
          <w:color w:val="000000"/>
          <w:sz w:val="32"/>
          <w:szCs w:val="32"/>
          <w:highlight w:val="none"/>
          <w:lang w:val="en-US" w:eastAsia="zh-CN"/>
        </w:rPr>
        <w:t>2</w:t>
      </w:r>
      <w:r>
        <w:rPr>
          <w:color w:val="000000"/>
          <w:sz w:val="32"/>
          <w:szCs w:val="32"/>
          <w:highlight w:val="none"/>
        </w:rPr>
        <w:fldChar w:fldCharType="end"/>
      </w:r>
    </w:p>
    <w:p>
      <w:pPr>
        <w:pStyle w:val="5"/>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color w:val="000000"/>
          <w:sz w:val="32"/>
          <w:szCs w:val="32"/>
          <w:highlight w:val="none"/>
        </w:rPr>
      </w:pPr>
      <w:r>
        <w:rPr>
          <w:color w:val="000000"/>
          <w:sz w:val="32"/>
          <w:szCs w:val="32"/>
          <w:highlight w:val="none"/>
        </w:rPr>
        <w:fldChar w:fldCharType="begin"/>
      </w:r>
      <w:r>
        <w:rPr>
          <w:color w:val="000000"/>
          <w:sz w:val="32"/>
          <w:szCs w:val="32"/>
          <w:highlight w:val="none"/>
        </w:rPr>
        <w:instrText xml:space="preserve"> HYPERLINK \l _Toc27590_WPSOffice_Level1 </w:instrText>
      </w:r>
      <w:r>
        <w:rPr>
          <w:color w:val="000000"/>
          <w:sz w:val="32"/>
          <w:szCs w:val="32"/>
          <w:highlight w:val="none"/>
        </w:rPr>
        <w:fldChar w:fldCharType="separate"/>
      </w:r>
      <w:r>
        <w:rPr>
          <w:rFonts w:hint="eastAsia" w:ascii="黑体" w:hAnsi="黑体" w:eastAsia="黑体" w:cs="黑体"/>
          <w:color w:val="000000"/>
          <w:sz w:val="32"/>
          <w:szCs w:val="32"/>
          <w:highlight w:val="none"/>
        </w:rPr>
        <w:t>第三部分</w:t>
      </w:r>
      <w:r>
        <w:rPr>
          <w:rFonts w:hint="eastAsia"/>
          <w:color w:val="000000"/>
          <w:sz w:val="32"/>
          <w:szCs w:val="32"/>
          <w:highlight w:val="none"/>
        </w:rPr>
        <w:t xml:space="preserve">  </w:t>
      </w:r>
      <w:r>
        <w:rPr>
          <w:rFonts w:hint="eastAsia" w:ascii="黑体" w:hAnsi="ˎ̥" w:eastAsia="黑体"/>
          <w:color w:val="000000"/>
          <w:sz w:val="32"/>
          <w:szCs w:val="32"/>
          <w:highlight w:val="none"/>
        </w:rPr>
        <w:t>2022年度部门决算情况说明</w:t>
      </w:r>
      <w:r>
        <w:rPr>
          <w:color w:val="000000"/>
          <w:sz w:val="32"/>
          <w:szCs w:val="32"/>
          <w:highlight w:val="none"/>
        </w:rPr>
        <w:tab/>
      </w:r>
      <w:r>
        <w:rPr>
          <w:rFonts w:hint="eastAsia"/>
          <w:color w:val="000000"/>
          <w:sz w:val="32"/>
          <w:szCs w:val="32"/>
          <w:highlight w:val="none"/>
          <w:lang w:val="en-US" w:eastAsia="zh-CN"/>
        </w:rPr>
        <w:t>3</w:t>
      </w:r>
      <w:r>
        <w:rPr>
          <w:color w:val="000000"/>
          <w:sz w:val="32"/>
          <w:szCs w:val="32"/>
          <w:highlight w:val="none"/>
        </w:rPr>
        <w:fldChar w:fldCharType="end"/>
      </w:r>
    </w:p>
    <w:p>
      <w:pPr>
        <w:pStyle w:val="6"/>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_Toc21737_WPSOffice_Level2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bCs/>
          <w:color w:val="000000"/>
          <w:sz w:val="32"/>
          <w:szCs w:val="32"/>
          <w:highlight w:val="none"/>
        </w:rPr>
        <w:t>一、收入支出总体情况说明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3</w:t>
      </w:r>
      <w:r>
        <w:rPr>
          <w:rFonts w:hint="eastAsia" w:ascii="仿宋" w:hAnsi="仿宋" w:eastAsia="仿宋" w:cs="仿宋"/>
          <w:color w:val="000000"/>
          <w:sz w:val="32"/>
          <w:szCs w:val="32"/>
          <w:highlight w:val="none"/>
        </w:rPr>
        <w:fldChar w:fldCharType="end"/>
      </w:r>
    </w:p>
    <w:p>
      <w:pPr>
        <w:pStyle w:val="6"/>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_Toc19535_WPSOffice_Level2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bCs/>
          <w:color w:val="000000"/>
          <w:sz w:val="32"/>
          <w:szCs w:val="32"/>
          <w:highlight w:val="none"/>
        </w:rPr>
        <w:t>二、收入决算情况说明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3</w:t>
      </w:r>
      <w:r>
        <w:rPr>
          <w:rFonts w:hint="eastAsia" w:ascii="仿宋" w:hAnsi="仿宋" w:eastAsia="仿宋" w:cs="仿宋"/>
          <w:color w:val="000000"/>
          <w:sz w:val="32"/>
          <w:szCs w:val="32"/>
          <w:highlight w:val="none"/>
        </w:rPr>
        <w:fldChar w:fldCharType="end"/>
      </w:r>
    </w:p>
    <w:p>
      <w:pPr>
        <w:pStyle w:val="6"/>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_Toc19535_WPSOffice_Level2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bCs/>
          <w:color w:val="000000"/>
          <w:sz w:val="32"/>
          <w:szCs w:val="32"/>
          <w:highlight w:val="none"/>
        </w:rPr>
        <w:t>三、支出决算情况说明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4</w:t>
      </w:r>
      <w:r>
        <w:rPr>
          <w:rFonts w:hint="eastAsia" w:ascii="仿宋" w:hAnsi="仿宋" w:eastAsia="仿宋" w:cs="仿宋"/>
          <w:color w:val="000000"/>
          <w:sz w:val="32"/>
          <w:szCs w:val="32"/>
          <w:highlight w:val="none"/>
        </w:rPr>
        <w:fldChar w:fldCharType="end"/>
      </w:r>
    </w:p>
    <w:p>
      <w:pPr>
        <w:pStyle w:val="6"/>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_Toc19535_WPSOffice_Level2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bCs/>
          <w:color w:val="000000"/>
          <w:sz w:val="32"/>
          <w:szCs w:val="32"/>
          <w:highlight w:val="none"/>
        </w:rPr>
        <w:t>四、财政拨款收入支出决算情况说明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4</w:t>
      </w:r>
      <w:r>
        <w:rPr>
          <w:rFonts w:hint="eastAsia" w:ascii="仿宋" w:hAnsi="仿宋" w:eastAsia="仿宋" w:cs="仿宋"/>
          <w:color w:val="000000"/>
          <w:sz w:val="32"/>
          <w:szCs w:val="32"/>
          <w:highlight w:val="none"/>
        </w:rPr>
        <w:fldChar w:fldCharType="end"/>
      </w:r>
    </w:p>
    <w:p>
      <w:pPr>
        <w:pStyle w:val="6"/>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_Toc19535_WPSOffice_Level2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bCs/>
          <w:color w:val="000000"/>
          <w:sz w:val="32"/>
          <w:szCs w:val="32"/>
          <w:highlight w:val="none"/>
        </w:rPr>
        <w:t>五、一般公共预算财政拨款支出决算情况说明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5</w:t>
      </w:r>
      <w:r>
        <w:rPr>
          <w:rFonts w:hint="eastAsia" w:ascii="仿宋" w:hAnsi="仿宋" w:eastAsia="仿宋" w:cs="仿宋"/>
          <w:color w:val="000000"/>
          <w:sz w:val="32"/>
          <w:szCs w:val="32"/>
          <w:highlight w:val="none"/>
        </w:rPr>
        <w:fldChar w:fldCharType="end"/>
      </w:r>
    </w:p>
    <w:p>
      <w:pPr>
        <w:pStyle w:val="6"/>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lang w:eastAsia="zh-CN"/>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_Toc19535_WPSOffice_Level2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bCs/>
          <w:color w:val="000000"/>
          <w:sz w:val="32"/>
          <w:szCs w:val="32"/>
          <w:highlight w:val="none"/>
        </w:rPr>
        <w:t>六、一般公共预算财政拨款基本支出决算情况说明</w:t>
      </w:r>
      <w:r>
        <w:rPr>
          <w:rFonts w:hint="eastAsia" w:ascii="仿宋" w:hAnsi="仿宋" w:eastAsia="仿宋" w:cs="仿宋"/>
          <w:color w:val="000000"/>
          <w:sz w:val="32"/>
          <w:szCs w:val="32"/>
          <w:highlight w:val="none"/>
        </w:rPr>
        <w:fldChar w:fldCharType="end"/>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6</w:t>
      </w:r>
    </w:p>
    <w:p>
      <w:pPr>
        <w:pStyle w:val="6"/>
        <w:keepNext w:val="0"/>
        <w:keepLines w:val="0"/>
        <w:pageBreakBefore w:val="0"/>
        <w:numPr>
          <w:ilvl w:val="0"/>
          <w:numId w:val="1"/>
        </w:numPr>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bCs/>
          <w:color w:val="000000"/>
          <w:sz w:val="32"/>
          <w:szCs w:val="32"/>
          <w:highlight w:val="none"/>
        </w:rPr>
        <w:t>政府性基金预算财政拨款支出决算情况说明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7</w:t>
      </w:r>
    </w:p>
    <w:p>
      <w:pPr>
        <w:pStyle w:val="6"/>
        <w:keepNext w:val="0"/>
        <w:keepLines w:val="0"/>
        <w:pageBreakBefore w:val="0"/>
        <w:numPr>
          <w:ilvl w:val="0"/>
          <w:numId w:val="1"/>
        </w:numPr>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bCs/>
          <w:color w:val="000000"/>
          <w:sz w:val="32"/>
          <w:szCs w:val="32"/>
          <w:highlight w:val="none"/>
        </w:rPr>
        <w:t>国有资本经营预算财政拨款支出决算情况说明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rPr>
        <w:t>8</w:t>
      </w:r>
    </w:p>
    <w:p>
      <w:pPr>
        <w:pStyle w:val="6"/>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_Toc19535_WPSOffice_Level2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bCs/>
          <w:color w:val="000000"/>
          <w:sz w:val="32"/>
          <w:szCs w:val="32"/>
          <w:highlight w:val="none"/>
        </w:rPr>
        <w:t>九、财政拨款“三公”经费支出决算情况说明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9</w:t>
      </w:r>
      <w:r>
        <w:rPr>
          <w:rFonts w:hint="eastAsia" w:ascii="仿宋" w:hAnsi="仿宋" w:eastAsia="仿宋" w:cs="仿宋"/>
          <w:color w:val="000000"/>
          <w:sz w:val="32"/>
          <w:szCs w:val="32"/>
          <w:highlight w:val="none"/>
        </w:rPr>
        <w:fldChar w:fldCharType="end"/>
      </w:r>
    </w:p>
    <w:p>
      <w:pPr>
        <w:pStyle w:val="6"/>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_Toc19535_WPSOffice_Level2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bCs/>
          <w:color w:val="000000"/>
          <w:sz w:val="32"/>
          <w:szCs w:val="32"/>
          <w:highlight w:val="none"/>
        </w:rPr>
        <w:t>十、预算绩效情况说明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rPr>
        <w:fldChar w:fldCharType="end"/>
      </w:r>
      <w:r>
        <w:rPr>
          <w:rFonts w:hint="eastAsia" w:ascii="仿宋" w:hAnsi="仿宋" w:eastAsia="仿宋" w:cs="仿宋"/>
          <w:color w:val="000000"/>
          <w:sz w:val="32"/>
          <w:szCs w:val="32"/>
          <w:highlight w:val="none"/>
        </w:rPr>
        <w:t>11</w:t>
      </w:r>
    </w:p>
    <w:p>
      <w:pPr>
        <w:pStyle w:val="6"/>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lang w:eastAsia="zh-CN"/>
        </w:rPr>
      </w:pPr>
      <w:r>
        <w:rPr>
          <w:rFonts w:hint="eastAsia" w:ascii="仿宋" w:hAnsi="仿宋" w:eastAsia="仿宋" w:cs="仿宋"/>
          <w:bCs/>
          <w:color w:val="000000"/>
          <w:sz w:val="32"/>
          <w:szCs w:val="32"/>
          <w:highlight w:val="none"/>
        </w:rPr>
        <w:t>十一、其他重要事项情况说明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rPr>
        <w:t>1</w:t>
      </w:r>
      <w:r>
        <w:rPr>
          <w:rFonts w:hint="eastAsia" w:ascii="仿宋" w:hAnsi="仿宋" w:eastAsia="仿宋" w:cs="仿宋"/>
          <w:color w:val="000000"/>
          <w:sz w:val="32"/>
          <w:szCs w:val="32"/>
          <w:highlight w:val="none"/>
          <w:lang w:val="en-US" w:eastAsia="zh-CN"/>
        </w:rPr>
        <w:t>3</w:t>
      </w:r>
    </w:p>
    <w:p>
      <w:pPr>
        <w:pStyle w:val="5"/>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eastAsia" w:ascii="黑体" w:hAnsi="ˎ̥" w:eastAsia="宋体"/>
          <w:b/>
          <w:color w:val="000000"/>
          <w:sz w:val="32"/>
          <w:szCs w:val="32"/>
          <w:highlight w:val="none"/>
          <w:lang w:eastAsia="zh-CN"/>
        </w:rPr>
      </w:pPr>
      <w:r>
        <w:rPr>
          <w:color w:val="000000"/>
          <w:sz w:val="32"/>
          <w:szCs w:val="32"/>
          <w:highlight w:val="none"/>
        </w:rPr>
        <w:fldChar w:fldCharType="begin"/>
      </w:r>
      <w:r>
        <w:rPr>
          <w:color w:val="000000"/>
          <w:sz w:val="32"/>
          <w:szCs w:val="32"/>
          <w:highlight w:val="none"/>
        </w:rPr>
        <w:instrText xml:space="preserve"> HYPERLINK \l _Toc15425_WPSOffice_Level1 </w:instrText>
      </w:r>
      <w:r>
        <w:rPr>
          <w:color w:val="000000"/>
          <w:sz w:val="32"/>
          <w:szCs w:val="32"/>
          <w:highlight w:val="none"/>
        </w:rPr>
        <w:fldChar w:fldCharType="separate"/>
      </w:r>
      <w:r>
        <w:rPr>
          <w:rFonts w:hint="eastAsia" w:ascii="黑体" w:hAnsi="ˎ̥" w:eastAsia="黑体"/>
          <w:color w:val="000000"/>
          <w:sz w:val="32"/>
          <w:szCs w:val="32"/>
          <w:highlight w:val="none"/>
        </w:rPr>
        <w:t>第四部分  名词解释</w:t>
      </w:r>
      <w:r>
        <w:rPr>
          <w:color w:val="000000"/>
          <w:sz w:val="32"/>
          <w:szCs w:val="32"/>
          <w:highlight w:val="none"/>
        </w:rPr>
        <w:tab/>
      </w:r>
      <w:bookmarkStart w:id="1" w:name="_Toc15425_WPSOffice_Level1Page"/>
      <w:r>
        <w:rPr>
          <w:color w:val="000000"/>
          <w:sz w:val="32"/>
          <w:szCs w:val="32"/>
          <w:highlight w:val="none"/>
        </w:rPr>
        <w:t>1</w:t>
      </w:r>
      <w:bookmarkEnd w:id="1"/>
      <w:r>
        <w:rPr>
          <w:color w:val="000000"/>
          <w:sz w:val="32"/>
          <w:szCs w:val="32"/>
          <w:highlight w:val="none"/>
        </w:rPr>
        <w:fldChar w:fldCharType="end"/>
      </w:r>
      <w:bookmarkEnd w:id="0"/>
      <w:r>
        <w:rPr>
          <w:rFonts w:hint="eastAsia"/>
          <w:color w:val="000000"/>
          <w:sz w:val="32"/>
          <w:szCs w:val="32"/>
          <w:highlight w:val="none"/>
          <w:lang w:val="en-US" w:eastAsia="zh-CN"/>
        </w:rPr>
        <w:t>5</w:t>
      </w:r>
    </w:p>
    <w:p>
      <w:pPr/>
    </w:p>
    <w:p>
      <w:pPr/>
    </w:p>
    <w:p>
      <w:pPr/>
    </w:p>
    <w:p>
      <w:pPr/>
    </w:p>
    <w:p>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000000"/>
          <w:sz w:val="32"/>
          <w:szCs w:val="32"/>
          <w:highlight w:val="none"/>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000000"/>
          <w:sz w:val="32"/>
          <w:szCs w:val="32"/>
          <w:highlight w:val="none"/>
        </w:rPr>
      </w:pPr>
      <w:r>
        <w:rPr>
          <w:rFonts w:hint="eastAsia" w:ascii="黑体" w:hAnsi="ˎ̥" w:eastAsia="黑体"/>
          <w:color w:val="000000"/>
          <w:sz w:val="32"/>
          <w:szCs w:val="32"/>
          <w:highlight w:val="none"/>
        </w:rPr>
        <w:t>第一部分  基本情况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000000"/>
          <w:sz w:val="32"/>
          <w:szCs w:val="32"/>
          <w:highlight w:val="none"/>
        </w:rPr>
      </w:pPr>
      <w:r>
        <w:rPr>
          <w:rFonts w:hint="eastAsia" w:ascii="黑体" w:hAnsi="黑体" w:eastAsia="黑体" w:cs="黑体"/>
          <w:color w:val="000000"/>
          <w:sz w:val="32"/>
          <w:szCs w:val="32"/>
          <w:highlight w:val="none"/>
        </w:rPr>
        <w:t>一、部门（单位）职责</w:t>
      </w:r>
    </w:p>
    <w:p>
      <w:pPr>
        <w:keepNext w:val="0"/>
        <w:keepLines w:val="0"/>
        <w:widowControl/>
        <w:suppressLineNumbers w:val="0"/>
        <w:ind w:left="0" w:firstLine="640" w:firstLineChars="200"/>
        <w:rPr>
          <w:rFonts w:hint="default" w:ascii="仿宋_GB2312" w:hAnsi="宋体" w:eastAsia="仿宋_GB2312" w:cs="宋体"/>
          <w:kern w:val="0"/>
          <w:sz w:val="32"/>
          <w:szCs w:val="32"/>
        </w:rPr>
      </w:pPr>
      <w:r>
        <w:rPr>
          <w:rFonts w:hint="default" w:ascii="仿宋_GB2312" w:hAnsi="宋体" w:eastAsia="仿宋_GB2312" w:cs="仿宋_GB2312"/>
          <w:kern w:val="0"/>
          <w:sz w:val="32"/>
          <w:szCs w:val="32"/>
        </w:rPr>
        <w:t>三亚市育才</w:t>
      </w:r>
      <w:r>
        <w:rPr>
          <w:rFonts w:hint="eastAsia" w:ascii="仿宋_GB2312" w:hAnsi="宋体" w:eastAsia="仿宋_GB2312" w:cs="仿宋_GB2312"/>
          <w:kern w:val="0"/>
          <w:sz w:val="32"/>
          <w:szCs w:val="32"/>
          <w:lang w:val="en-US" w:eastAsia="zh-CN"/>
        </w:rPr>
        <w:t>雅林</w:t>
      </w:r>
      <w:r>
        <w:rPr>
          <w:rFonts w:hint="eastAsia" w:ascii="仿宋_GB2312" w:hAnsi="宋体" w:eastAsia="仿宋_GB2312" w:cs="仿宋_GB2312"/>
          <w:kern w:val="0"/>
          <w:sz w:val="32"/>
          <w:szCs w:val="32"/>
          <w:lang w:eastAsia="zh-CN"/>
        </w:rPr>
        <w:t>小学</w:t>
      </w:r>
      <w:r>
        <w:rPr>
          <w:rFonts w:hint="default" w:ascii="仿宋_GB2312" w:hAnsi="宋体" w:eastAsia="仿宋_GB2312" w:cs="仿宋_GB2312"/>
          <w:kern w:val="0"/>
          <w:sz w:val="32"/>
          <w:szCs w:val="32"/>
        </w:rPr>
        <w:t>由三亚市教育局举办，经登记批准，属公益一类事业单位。学校为全日制六年制公办小学，主要职责是：</w:t>
      </w:r>
    </w:p>
    <w:p>
      <w:pPr>
        <w:keepNext w:val="0"/>
        <w:keepLines w:val="0"/>
        <w:widowControl/>
        <w:suppressLineNumbers w:val="0"/>
        <w:ind w:left="0" w:firstLine="640" w:firstLineChars="200"/>
        <w:rPr>
          <w:rFonts w:hint="default" w:ascii="仿宋_GB2312" w:hAnsi="宋体" w:eastAsia="仿宋_GB2312" w:cs="宋体"/>
          <w:kern w:val="0"/>
          <w:sz w:val="32"/>
          <w:szCs w:val="32"/>
        </w:rPr>
      </w:pPr>
      <w:r>
        <w:rPr>
          <w:rFonts w:hint="default" w:ascii="仿宋_GB2312" w:hAnsi="宋体" w:eastAsia="仿宋_GB2312" w:cs="仿宋_GB2312"/>
          <w:kern w:val="0"/>
          <w:sz w:val="32"/>
          <w:szCs w:val="32"/>
        </w:rPr>
        <w:t>（一）贯彻执行党和国家的教育方针、政策、法规。</w:t>
      </w:r>
    </w:p>
    <w:p>
      <w:pPr>
        <w:keepNext w:val="0"/>
        <w:keepLines w:val="0"/>
        <w:widowControl/>
        <w:suppressLineNumbers w:val="0"/>
        <w:ind w:left="0" w:firstLine="640" w:firstLineChars="200"/>
        <w:rPr>
          <w:rFonts w:hint="default" w:ascii="仿宋_GB2312" w:hAnsi="宋体" w:eastAsia="仿宋_GB2312" w:cs="宋体"/>
          <w:kern w:val="0"/>
          <w:sz w:val="32"/>
          <w:szCs w:val="32"/>
        </w:rPr>
      </w:pPr>
      <w:r>
        <w:rPr>
          <w:rFonts w:hint="default" w:ascii="仿宋_GB2312" w:hAnsi="宋体" w:eastAsia="仿宋_GB2312" w:cs="仿宋_GB2312"/>
          <w:kern w:val="0"/>
          <w:sz w:val="32"/>
          <w:szCs w:val="32"/>
        </w:rPr>
        <w:t>（二）研究拟定全校教育发展战略法，研究拟定学校发展规划和年度计划，组织实施教育体制和办学体制改革。</w:t>
      </w:r>
    </w:p>
    <w:p>
      <w:pPr>
        <w:keepNext w:val="0"/>
        <w:keepLines w:val="0"/>
        <w:widowControl/>
        <w:suppressLineNumbers w:val="0"/>
        <w:ind w:left="0" w:firstLine="640" w:firstLineChars="200"/>
        <w:rPr>
          <w:rFonts w:hint="default" w:ascii="仿宋_GB2312" w:hAnsi="宋体" w:eastAsia="仿宋_GB2312" w:cs="宋体"/>
          <w:kern w:val="0"/>
          <w:sz w:val="32"/>
          <w:szCs w:val="32"/>
        </w:rPr>
      </w:pPr>
      <w:r>
        <w:rPr>
          <w:rFonts w:hint="default" w:ascii="仿宋_GB2312" w:hAnsi="宋体" w:eastAsia="仿宋_GB2312" w:cs="仿宋_GB2312"/>
          <w:kern w:val="0"/>
          <w:sz w:val="32"/>
          <w:szCs w:val="32"/>
        </w:rPr>
        <w:t>（三）管理和指导学校基础教育工作；确保普及九年义务教育工作成果。</w:t>
      </w:r>
    </w:p>
    <w:p>
      <w:pPr>
        <w:keepNext w:val="0"/>
        <w:keepLines w:val="0"/>
        <w:widowControl/>
        <w:suppressLineNumbers w:val="0"/>
        <w:ind w:left="0" w:firstLine="640" w:firstLineChars="200"/>
        <w:rPr>
          <w:rFonts w:hint="default" w:ascii="仿宋_GB2312" w:hAnsi="宋体" w:eastAsia="仿宋_GB2312" w:cs="宋体"/>
          <w:kern w:val="0"/>
          <w:sz w:val="32"/>
          <w:szCs w:val="32"/>
        </w:rPr>
      </w:pPr>
      <w:r>
        <w:rPr>
          <w:rFonts w:hint="default" w:ascii="仿宋_GB2312" w:hAnsi="宋体" w:eastAsia="仿宋_GB2312" w:cs="仿宋_GB2312"/>
          <w:kern w:val="0"/>
          <w:sz w:val="32"/>
          <w:szCs w:val="32"/>
        </w:rPr>
        <w:t>（四）管理学校教育经费；管理学校教育经费，执行财务管理制度。</w:t>
      </w:r>
    </w:p>
    <w:p>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rPr>
          <w:rFonts w:hint="eastAsia" w:ascii="黑体" w:hAnsi="黑体" w:eastAsia="黑体" w:cs="黑体"/>
          <w:color w:val="000000"/>
          <w:sz w:val="32"/>
          <w:szCs w:val="32"/>
          <w:highlight w:val="none"/>
        </w:rPr>
      </w:pPr>
      <w:r>
        <w:rPr>
          <w:rFonts w:hint="default" w:ascii="仿宋_GB2312" w:hAnsi="宋体" w:eastAsia="仿宋_GB2312" w:cs="仿宋_GB2312"/>
          <w:kern w:val="0"/>
          <w:sz w:val="32"/>
          <w:szCs w:val="32"/>
        </w:rPr>
        <w:t>（五）负责和指导学校教职工的思想政治工作，规划学校品德教育、体育卫生教育、艺术教育和国防教育工作；负责做好社会治安综合治理及安全保卫工作。</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000000"/>
          <w:sz w:val="32"/>
          <w:szCs w:val="32"/>
          <w:highlight w:val="none"/>
        </w:rPr>
      </w:pPr>
      <w:bookmarkStart w:id="2" w:name="_Toc17796_WPSOffice_Level2"/>
      <w:bookmarkStart w:id="3" w:name="_Toc4833_WPSOffice_Level2"/>
      <w:bookmarkStart w:id="4" w:name="_Toc24474_WPSOffice_Level2"/>
      <w:bookmarkStart w:id="5" w:name="_Toc6572_WPSOffice_Level2"/>
      <w:bookmarkStart w:id="6" w:name="_Toc24059_WPSOffice_Level2"/>
      <w:r>
        <w:rPr>
          <w:rFonts w:hint="eastAsia" w:ascii="黑体" w:hAnsi="黑体" w:eastAsia="黑体" w:cs="黑体"/>
          <w:color w:val="000000"/>
          <w:sz w:val="32"/>
          <w:szCs w:val="32"/>
          <w:highlight w:val="none"/>
        </w:rPr>
        <w:t>二、机构设置</w:t>
      </w:r>
      <w:bookmarkEnd w:id="2"/>
      <w:bookmarkEnd w:id="3"/>
      <w:bookmarkEnd w:id="4"/>
      <w:bookmarkEnd w:id="5"/>
      <w:bookmarkEnd w:id="6"/>
    </w:p>
    <w:p>
      <w:pPr>
        <w:pStyle w:val="4"/>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firstLine="640" w:firstLineChars="200"/>
        <w:jc w:val="left"/>
        <w:textAlignment w:val="auto"/>
        <w:outlineLvl w:val="9"/>
        <w:rPr>
          <w:rFonts w:hint="default" w:ascii="仿宋_GB2312" w:hAnsi="ˎ̥" w:eastAsia="仿宋_GB2312" w:cs="Times New Roman"/>
          <w:color w:val="000000" w:themeColor="text1"/>
          <w:sz w:val="32"/>
          <w:szCs w:val="32"/>
          <w:lang w:val="en-US" w:eastAsia="zh-CN"/>
          <w14:textFill>
            <w14:solidFill>
              <w14:schemeClr w14:val="tx1"/>
            </w14:solidFill>
          </w14:textFill>
        </w:rPr>
      </w:pPr>
      <w:r>
        <w:rPr>
          <w:rFonts w:hint="eastAsia" w:ascii="仿宋_GB2312" w:hAnsi="ˎ̥" w:eastAsia="仿宋_GB2312" w:cs="Times New Roman"/>
          <w:color w:val="000000" w:themeColor="text1"/>
          <w:sz w:val="32"/>
          <w:szCs w:val="32"/>
          <w:lang w:val="en-US" w:eastAsia="zh-CN"/>
          <w14:textFill>
            <w14:solidFill>
              <w14:schemeClr w14:val="tx1"/>
            </w14:solidFill>
          </w14:textFill>
        </w:rPr>
        <w:t>三亚市育才雅林小学设4个内设机构，事业编制19名，设校长1名，部门主任3名。</w:t>
      </w:r>
    </w:p>
    <w:p>
      <w:pPr>
        <w:ind w:firstLine="800" w:firstLineChars="250"/>
        <w:jc w:val="left"/>
        <w:rPr>
          <w:rFonts w:hint="eastAsia" w:ascii="仿宋_GB2312" w:hAnsi="黑体" w:eastAsia="仿宋_GB2312" w:cs="仿宋_GB2312"/>
          <w:color w:val="000000" w:themeColor="text1"/>
          <w:sz w:val="32"/>
          <w:szCs w:val="32"/>
          <w:lang w:eastAsia="zh-CN"/>
          <w14:textFill>
            <w14:solidFill>
              <w14:schemeClr w14:val="tx1"/>
            </w14:solidFill>
          </w14:textFill>
        </w:rPr>
      </w:pPr>
      <w:r>
        <w:rPr>
          <w:rFonts w:hint="eastAsia" w:ascii="仿宋_GB2312" w:hAnsi="ˎ̥" w:eastAsia="仿宋_GB2312" w:cs="Times New Roman"/>
          <w:color w:val="000000" w:themeColor="text1"/>
          <w:sz w:val="32"/>
          <w:szCs w:val="32"/>
          <w:lang w:val="en-US" w:eastAsia="zh-CN"/>
          <w14:textFill>
            <w14:solidFill>
              <w14:schemeClr w14:val="tx1"/>
            </w14:solidFill>
          </w14:textFill>
        </w:rPr>
        <w:t>纳入三亚市育才生态区管理委员会部门2022年部门预算编制范围的预算单位为三亚市育才雅林小学。</w:t>
      </w:r>
    </w:p>
    <w:p>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黑体" w:hAnsi="ˎ̥" w:eastAsia="黑体"/>
          <w:color w:val="000000"/>
          <w:sz w:val="32"/>
          <w:szCs w:val="32"/>
          <w:highlight w:val="none"/>
        </w:rPr>
      </w:pPr>
      <w:bookmarkStart w:id="7" w:name="_Toc30451_WPSOffice_Level1"/>
      <w:bookmarkStart w:id="8" w:name="_Toc15521_WPSOffice_Level1"/>
      <w:bookmarkStart w:id="9" w:name="_Toc30690_WPSOffice_Level1"/>
      <w:bookmarkStart w:id="10" w:name="_Toc6234_WPSOffice_Level1"/>
      <w:bookmarkStart w:id="11" w:name="_Toc28253_WPSOffice_Level1"/>
      <w:bookmarkStart w:id="12" w:name="_Toc8164_WPSOffice_Level1"/>
      <w:bookmarkStart w:id="13" w:name="_Toc32472_WPSOffice_Level2"/>
      <w:bookmarkStart w:id="14" w:name="_Toc4029_WPSOffice_Level2"/>
      <w:bookmarkStart w:id="15" w:name="_Toc8867_WPSOffice_Level2"/>
      <w:bookmarkStart w:id="16" w:name="_Toc6211_WPSOffice_Level2"/>
      <w:bookmarkStart w:id="17" w:name="_Toc11518_WPSOffice_Level2"/>
      <w:bookmarkStart w:id="18" w:name="_Toc32695_WPSOffice_Level2"/>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000000"/>
          <w:sz w:val="32"/>
          <w:szCs w:val="32"/>
          <w:highlight w:val="none"/>
        </w:rPr>
      </w:pPr>
      <w:r>
        <w:rPr>
          <w:rFonts w:hint="eastAsia" w:ascii="黑体" w:hAnsi="ˎ̥" w:eastAsia="黑体"/>
          <w:color w:val="000000"/>
          <w:sz w:val="32"/>
          <w:szCs w:val="32"/>
          <w:highlight w:val="none"/>
        </w:rPr>
        <w:t>第二部分  2022年度部门决算公开报表</w:t>
      </w:r>
      <w:bookmarkEnd w:id="7"/>
      <w:bookmarkEnd w:id="8"/>
      <w:bookmarkEnd w:id="9"/>
      <w:bookmarkEnd w:id="10"/>
      <w:bookmarkEnd w:id="11"/>
      <w:bookmarkEnd w:id="12"/>
    </w:p>
    <w:p>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黑体" w:hAnsi="黑体" w:eastAsia="黑体" w:cs="黑体"/>
          <w:color w:val="000000"/>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黑体" w:hAnsi="黑体" w:eastAsia="黑体" w:cs="黑体"/>
          <w:color w:val="000000"/>
          <w:sz w:val="32"/>
          <w:szCs w:val="32"/>
          <w:highlight w:val="none"/>
        </w:rPr>
      </w:pPr>
      <w:r>
        <w:rPr>
          <w:rFonts w:hint="eastAsia" w:ascii="黑体" w:hAnsi="黑体" w:eastAsia="黑体" w:cs="黑体"/>
          <w:color w:val="000000"/>
          <w:sz w:val="32"/>
          <w:szCs w:val="32"/>
          <w:highlight w:val="none"/>
        </w:rPr>
        <w:t>一、收入支出决算公开表</w:t>
      </w:r>
      <w:bookmarkEnd w:id="13"/>
      <w:bookmarkEnd w:id="14"/>
      <w:bookmarkEnd w:id="15"/>
      <w:bookmarkEnd w:id="16"/>
      <w:bookmarkEnd w:id="17"/>
      <w:bookmarkEnd w:id="18"/>
    </w:p>
    <w:p>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黑体" w:hAnsi="黑体" w:eastAsia="黑体" w:cs="黑体"/>
          <w:color w:val="000000"/>
          <w:sz w:val="32"/>
          <w:szCs w:val="32"/>
          <w:highlight w:val="none"/>
        </w:rPr>
      </w:pPr>
      <w:bookmarkStart w:id="19" w:name="_Toc30334_WPSOffice_Level2"/>
      <w:bookmarkStart w:id="20" w:name="_Toc25608_WPSOffice_Level2"/>
      <w:bookmarkStart w:id="21" w:name="_Toc26621_WPSOffice_Level2"/>
      <w:bookmarkStart w:id="22" w:name="_Toc23139_WPSOffice_Level2"/>
      <w:bookmarkStart w:id="23" w:name="_Toc28622_WPSOffice_Level2"/>
      <w:bookmarkStart w:id="24" w:name="_Toc14349_WPSOffice_Level2"/>
      <w:r>
        <w:rPr>
          <w:rFonts w:hint="eastAsia" w:ascii="黑体" w:hAnsi="黑体" w:eastAsia="黑体" w:cs="黑体"/>
          <w:color w:val="000000"/>
          <w:sz w:val="32"/>
          <w:szCs w:val="32"/>
          <w:highlight w:val="none"/>
        </w:rPr>
        <w:t>二、收入决算公开表</w:t>
      </w:r>
      <w:bookmarkEnd w:id="19"/>
      <w:bookmarkEnd w:id="20"/>
      <w:bookmarkEnd w:id="21"/>
      <w:bookmarkEnd w:id="22"/>
      <w:bookmarkEnd w:id="23"/>
      <w:bookmarkEnd w:id="24"/>
      <w:bookmarkStart w:id="25" w:name="_Toc17626_WPSOffice_Level2"/>
      <w:bookmarkStart w:id="26" w:name="_Toc14658_WPSOffice_Level2"/>
      <w:bookmarkStart w:id="27" w:name="_Toc5489_WPSOffice_Level2"/>
      <w:bookmarkStart w:id="28" w:name="_Toc13854_WPSOffice_Level2"/>
      <w:bookmarkStart w:id="29" w:name="_Toc3262_WPSOffice_Level2"/>
      <w:bookmarkStart w:id="30" w:name="_Toc17858_WPSOffice_Level2"/>
    </w:p>
    <w:p>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黑体" w:hAnsi="黑体" w:eastAsia="黑体" w:cs="黑体"/>
          <w:color w:val="000000"/>
          <w:sz w:val="32"/>
          <w:szCs w:val="32"/>
          <w:highlight w:val="none"/>
        </w:rPr>
      </w:pPr>
      <w:r>
        <w:rPr>
          <w:rFonts w:hint="eastAsia" w:ascii="黑体" w:hAnsi="黑体" w:eastAsia="黑体" w:cs="黑体"/>
          <w:color w:val="000000"/>
          <w:sz w:val="32"/>
          <w:szCs w:val="32"/>
          <w:highlight w:val="none"/>
        </w:rPr>
        <w:t>三、支出决算公开表</w:t>
      </w:r>
      <w:bookmarkEnd w:id="25"/>
      <w:bookmarkEnd w:id="26"/>
      <w:bookmarkEnd w:id="27"/>
      <w:bookmarkEnd w:id="28"/>
      <w:bookmarkEnd w:id="29"/>
      <w:bookmarkEnd w:id="30"/>
      <w:bookmarkStart w:id="31" w:name="_Toc23493_WPSOffice_Level2"/>
      <w:bookmarkStart w:id="32" w:name="_Toc21415_WPSOffice_Level2"/>
      <w:bookmarkStart w:id="33" w:name="_Toc23591_WPSOffice_Level2"/>
      <w:bookmarkStart w:id="34" w:name="_Toc13701_WPSOffice_Level2"/>
      <w:bookmarkStart w:id="35" w:name="_Toc4265_WPSOffice_Level2"/>
      <w:bookmarkStart w:id="36" w:name="_Toc7988_WPSOffice_Level2"/>
    </w:p>
    <w:p>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黑体" w:hAnsi="黑体" w:eastAsia="黑体" w:cs="黑体"/>
          <w:color w:val="000000"/>
          <w:sz w:val="32"/>
          <w:szCs w:val="32"/>
          <w:highlight w:val="none"/>
        </w:rPr>
      </w:pPr>
      <w:r>
        <w:rPr>
          <w:rFonts w:hint="eastAsia" w:ascii="黑体" w:hAnsi="黑体" w:eastAsia="黑体" w:cs="黑体"/>
          <w:color w:val="000000"/>
          <w:sz w:val="32"/>
          <w:szCs w:val="32"/>
          <w:highlight w:val="none"/>
        </w:rPr>
        <w:t>四、财政拨款收入支出决算公开表</w:t>
      </w:r>
      <w:bookmarkEnd w:id="31"/>
      <w:bookmarkEnd w:id="32"/>
      <w:bookmarkEnd w:id="33"/>
      <w:bookmarkEnd w:id="34"/>
      <w:bookmarkEnd w:id="35"/>
      <w:bookmarkEnd w:id="36"/>
    </w:p>
    <w:p>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黑体" w:hAnsi="黑体" w:eastAsia="黑体" w:cs="黑体"/>
          <w:color w:val="000000"/>
          <w:sz w:val="32"/>
          <w:szCs w:val="32"/>
          <w:highlight w:val="none"/>
        </w:rPr>
      </w:pPr>
      <w:bookmarkStart w:id="37" w:name="_Toc7879_WPSOffice_Level2"/>
      <w:bookmarkStart w:id="38" w:name="_Toc23829_WPSOffice_Level2"/>
      <w:bookmarkStart w:id="39" w:name="_Toc25166_WPSOffice_Level2"/>
      <w:bookmarkStart w:id="40" w:name="_Toc22783_WPSOffice_Level2"/>
      <w:bookmarkStart w:id="41" w:name="_Toc13516_WPSOffice_Level2"/>
      <w:bookmarkStart w:id="42" w:name="_Toc2158_WPSOffice_Level2"/>
      <w:r>
        <w:rPr>
          <w:rFonts w:hint="eastAsia" w:ascii="黑体" w:hAnsi="黑体" w:eastAsia="黑体" w:cs="黑体"/>
          <w:color w:val="000000"/>
          <w:sz w:val="32"/>
          <w:szCs w:val="32"/>
          <w:highlight w:val="none"/>
        </w:rPr>
        <w:t>五、一般公共预算财政拨款收入支出决算</w:t>
      </w:r>
      <w:bookmarkEnd w:id="37"/>
      <w:bookmarkEnd w:id="38"/>
      <w:bookmarkEnd w:id="39"/>
      <w:bookmarkEnd w:id="40"/>
      <w:r>
        <w:rPr>
          <w:rFonts w:hint="eastAsia" w:ascii="黑体" w:hAnsi="黑体" w:eastAsia="黑体" w:cs="黑体"/>
          <w:color w:val="000000"/>
          <w:sz w:val="32"/>
          <w:szCs w:val="32"/>
          <w:highlight w:val="none"/>
        </w:rPr>
        <w:t>公开表</w:t>
      </w:r>
      <w:bookmarkEnd w:id="41"/>
      <w:bookmarkEnd w:id="42"/>
      <w:bookmarkStart w:id="43" w:name="_Toc17833_WPSOffice_Level2"/>
      <w:bookmarkStart w:id="44" w:name="_Toc2632_WPSOffice_Level2"/>
      <w:bookmarkStart w:id="45" w:name="_Toc8373_WPSOffice_Level2"/>
      <w:bookmarkStart w:id="46" w:name="_Toc5343_WPSOffice_Level2"/>
      <w:bookmarkStart w:id="47" w:name="_Toc25362_WPSOffice_Level2"/>
      <w:bookmarkStart w:id="48" w:name="_Toc17283_WPSOffice_Level2"/>
    </w:p>
    <w:p>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黑体" w:hAnsi="黑体" w:eastAsia="黑体" w:cs="黑体"/>
          <w:color w:val="000000"/>
          <w:sz w:val="32"/>
          <w:szCs w:val="32"/>
          <w:highlight w:val="none"/>
        </w:rPr>
      </w:pPr>
      <w:r>
        <w:rPr>
          <w:rFonts w:hint="eastAsia" w:ascii="黑体" w:hAnsi="黑体" w:eastAsia="黑体" w:cs="黑体"/>
          <w:color w:val="000000"/>
          <w:sz w:val="32"/>
          <w:szCs w:val="32"/>
          <w:highlight w:val="none"/>
        </w:rPr>
        <w:t>六、一般公共预算财政拨款基本支出决算</w:t>
      </w:r>
      <w:bookmarkEnd w:id="43"/>
      <w:bookmarkEnd w:id="44"/>
      <w:bookmarkEnd w:id="45"/>
      <w:bookmarkEnd w:id="46"/>
      <w:bookmarkEnd w:id="47"/>
      <w:bookmarkEnd w:id="48"/>
      <w:r>
        <w:rPr>
          <w:rFonts w:hint="eastAsia" w:ascii="黑体" w:hAnsi="黑体" w:eastAsia="黑体" w:cs="黑体"/>
          <w:color w:val="000000"/>
          <w:sz w:val="32"/>
          <w:szCs w:val="32"/>
          <w:highlight w:val="none"/>
        </w:rPr>
        <w:t>公开表</w:t>
      </w:r>
    </w:p>
    <w:p>
      <w:pPr>
        <w:keepNext w:val="0"/>
        <w:keepLines w:val="0"/>
        <w:pageBreakBefore w:val="0"/>
        <w:kinsoku/>
        <w:wordWrap/>
        <w:overflowPunct/>
        <w:topLinePunct w:val="0"/>
        <w:autoSpaceDE/>
        <w:autoSpaceDN/>
        <w:bidi w:val="0"/>
        <w:adjustRightInd/>
        <w:snapToGrid/>
        <w:spacing w:line="560" w:lineRule="exact"/>
        <w:ind w:left="1118" w:leftChars="304" w:hanging="480" w:hangingChars="150"/>
        <w:textAlignment w:val="auto"/>
        <w:rPr>
          <w:rFonts w:hint="eastAsia" w:ascii="黑体" w:hAnsi="黑体" w:eastAsia="黑体" w:cs="黑体"/>
          <w:color w:val="000000"/>
          <w:sz w:val="32"/>
          <w:szCs w:val="32"/>
          <w:highlight w:val="none"/>
        </w:rPr>
      </w:pPr>
      <w:bookmarkStart w:id="49" w:name="_Toc5594_WPSOffice_Level2"/>
      <w:bookmarkStart w:id="50" w:name="_Toc13345_WPSOffice_Level2"/>
      <w:bookmarkStart w:id="51" w:name="_Toc6020_WPSOffice_Level2"/>
      <w:bookmarkStart w:id="52" w:name="_Toc11799_WPSOffice_Level2"/>
      <w:bookmarkStart w:id="53" w:name="_Toc1533_WPSOffice_Level2"/>
      <w:bookmarkStart w:id="54" w:name="_Toc21310_WPSOffice_Level2"/>
      <w:r>
        <w:rPr>
          <w:rFonts w:hint="eastAsia" w:ascii="黑体" w:hAnsi="黑体" w:eastAsia="黑体" w:cs="黑体"/>
          <w:color w:val="000000"/>
          <w:sz w:val="32"/>
          <w:szCs w:val="32"/>
          <w:highlight w:val="none"/>
        </w:rPr>
        <w:t>七、政府性基金预算财政拨款收入支出决算</w:t>
      </w:r>
      <w:bookmarkEnd w:id="49"/>
      <w:bookmarkEnd w:id="50"/>
      <w:bookmarkEnd w:id="51"/>
      <w:bookmarkEnd w:id="52"/>
      <w:bookmarkEnd w:id="53"/>
      <w:bookmarkEnd w:id="54"/>
      <w:r>
        <w:rPr>
          <w:rFonts w:hint="eastAsia" w:ascii="黑体" w:hAnsi="黑体" w:eastAsia="黑体" w:cs="黑体"/>
          <w:color w:val="000000"/>
          <w:sz w:val="32"/>
          <w:szCs w:val="32"/>
          <w:highlight w:val="none"/>
        </w:rPr>
        <w:t>公开表</w:t>
      </w:r>
    </w:p>
    <w:p>
      <w:pPr>
        <w:keepNext w:val="0"/>
        <w:keepLines w:val="0"/>
        <w:pageBreakBefore w:val="0"/>
        <w:kinsoku/>
        <w:wordWrap/>
        <w:overflowPunct/>
        <w:topLinePunct w:val="0"/>
        <w:autoSpaceDE/>
        <w:autoSpaceDN/>
        <w:bidi w:val="0"/>
        <w:adjustRightInd/>
        <w:snapToGrid/>
        <w:spacing w:line="560" w:lineRule="exact"/>
        <w:ind w:left="1118" w:leftChars="304" w:hanging="480" w:hangingChars="150"/>
        <w:textAlignment w:val="auto"/>
        <w:rPr>
          <w:rFonts w:hint="eastAsia" w:ascii="黑体" w:hAnsi="黑体" w:eastAsia="黑体" w:cs="黑体"/>
          <w:color w:val="000000"/>
          <w:sz w:val="32"/>
          <w:szCs w:val="32"/>
          <w:highlight w:val="none"/>
        </w:rPr>
      </w:pPr>
      <w:r>
        <w:rPr>
          <w:rFonts w:hint="eastAsia" w:ascii="黑体" w:hAnsi="黑体" w:eastAsia="黑体" w:cs="黑体"/>
          <w:color w:val="000000"/>
          <w:sz w:val="32"/>
          <w:szCs w:val="32"/>
          <w:highlight w:val="none"/>
        </w:rPr>
        <w:t>八、国有资本经营预算财政拨款收入支出决算公开表</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黑体" w:hAnsi="黑体" w:eastAsia="黑体" w:cs="黑体"/>
          <w:color w:val="000000"/>
          <w:sz w:val="32"/>
          <w:szCs w:val="32"/>
          <w:highlight w:val="none"/>
        </w:rPr>
      </w:pPr>
      <w:bookmarkStart w:id="55" w:name="_Toc9377_WPSOffice_Level2"/>
      <w:bookmarkStart w:id="56" w:name="_Toc19961_WPSOffice_Level2"/>
      <w:bookmarkStart w:id="57" w:name="_Toc29886_WPSOffice_Level2"/>
      <w:bookmarkStart w:id="58" w:name="_Toc1820_WPSOffice_Level2"/>
      <w:r>
        <w:rPr>
          <w:rFonts w:hint="eastAsia" w:ascii="黑体" w:hAnsi="黑体" w:eastAsia="黑体" w:cs="黑体"/>
          <w:color w:val="000000"/>
          <w:sz w:val="32"/>
          <w:szCs w:val="32"/>
          <w:highlight w:val="none"/>
        </w:rPr>
        <w:t>九、财政拨款“三公”经费支出决算</w:t>
      </w:r>
      <w:bookmarkEnd w:id="55"/>
      <w:bookmarkEnd w:id="56"/>
      <w:bookmarkEnd w:id="57"/>
      <w:bookmarkEnd w:id="58"/>
      <w:r>
        <w:rPr>
          <w:rFonts w:hint="eastAsia" w:ascii="黑体" w:hAnsi="黑体" w:eastAsia="黑体" w:cs="黑体"/>
          <w:color w:val="000000"/>
          <w:sz w:val="32"/>
          <w:szCs w:val="32"/>
          <w:highlight w:val="none"/>
        </w:rPr>
        <w:t>公开表</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黑体" w:hAnsi="黑体" w:eastAsia="黑体" w:cs="黑体"/>
          <w:color w:val="000000"/>
          <w:sz w:val="32"/>
          <w:szCs w:val="32"/>
          <w:highlight w:val="none"/>
        </w:rPr>
      </w:pPr>
      <w:r>
        <w:rPr>
          <w:rFonts w:hint="eastAsia" w:ascii="黑体" w:hAnsi="黑体" w:eastAsia="黑体" w:cs="黑体"/>
          <w:color w:val="000000"/>
          <w:w w:val="96"/>
          <w:sz w:val="32"/>
          <w:szCs w:val="32"/>
          <w:highlight w:val="none"/>
        </w:rPr>
        <w:t>以上报表见附件</w:t>
      </w:r>
      <w:r>
        <w:rPr>
          <w:rFonts w:hint="eastAsia" w:ascii="黑体" w:hAnsi="黑体" w:eastAsia="黑体" w:cs="黑体"/>
          <w:color w:val="000000"/>
          <w:w w:val="96"/>
          <w:sz w:val="32"/>
          <w:szCs w:val="32"/>
          <w:highlight w:val="none"/>
          <w:lang w:val="en-US" w:eastAsia="zh-CN"/>
        </w:rPr>
        <w:t>1</w:t>
      </w:r>
      <w:r>
        <w:rPr>
          <w:rFonts w:hint="eastAsia" w:ascii="黑体" w:hAnsi="黑体" w:eastAsia="黑体" w:cs="黑体"/>
          <w:color w:val="000000"/>
          <w:w w:val="96"/>
          <w:sz w:val="32"/>
          <w:szCs w:val="32"/>
          <w:highlight w:val="non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黑体" w:hAnsi="黑体" w:eastAsia="黑体" w:cs="黑体"/>
          <w:color w:val="000000"/>
          <w:sz w:val="32"/>
          <w:szCs w:val="32"/>
          <w:highlight w:val="none"/>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000000"/>
          <w:sz w:val="32"/>
          <w:szCs w:val="32"/>
          <w:highlight w:val="none"/>
        </w:rPr>
      </w:pPr>
      <w:bookmarkStart w:id="59" w:name="_Toc29683_WPSOffice_Level1"/>
      <w:bookmarkStart w:id="60" w:name="_Toc4402_WPSOffice_Level1"/>
      <w:bookmarkStart w:id="61" w:name="_Toc27590_WPSOffice_Level1"/>
      <w:bookmarkStart w:id="62" w:name="_Toc16686_WPSOffice_Level1"/>
      <w:bookmarkStart w:id="63" w:name="_Toc28629_WPSOffice_Level1"/>
      <w:bookmarkStart w:id="64" w:name="_Toc31264_WPSOffice_Level1"/>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000000"/>
          <w:sz w:val="32"/>
          <w:szCs w:val="32"/>
          <w:highlight w:val="none"/>
        </w:rPr>
      </w:pPr>
      <w:r>
        <w:rPr>
          <w:rFonts w:hint="eastAsia" w:ascii="黑体" w:hAnsi="ˎ̥" w:eastAsia="黑体"/>
          <w:color w:val="000000"/>
          <w:sz w:val="32"/>
          <w:szCs w:val="32"/>
          <w:highlight w:val="none"/>
        </w:rPr>
        <w:t>第三部分  2022年度部门决算情况说明</w:t>
      </w:r>
      <w:bookmarkEnd w:id="59"/>
      <w:bookmarkEnd w:id="60"/>
      <w:bookmarkEnd w:id="61"/>
      <w:bookmarkEnd w:id="62"/>
      <w:bookmarkEnd w:id="63"/>
      <w:bookmarkEnd w:id="64"/>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000000"/>
          <w:sz w:val="32"/>
          <w:szCs w:val="32"/>
          <w:highlight w:val="none"/>
        </w:rPr>
      </w:pPr>
    </w:p>
    <w:p>
      <w:pPr>
        <w:keepNext w:val="0"/>
        <w:keepLines w:val="0"/>
        <w:pageBreakBefore w:val="0"/>
        <w:widowControl/>
        <w:numPr>
          <w:ilvl w:val="0"/>
          <w:numId w:val="0"/>
        </w:numPr>
        <w:kinsoku/>
        <w:wordWrap/>
        <w:overflowPunct/>
        <w:topLinePunct w:val="0"/>
        <w:autoSpaceDE/>
        <w:autoSpaceDN/>
        <w:bidi w:val="0"/>
        <w:adjustRightInd/>
        <w:snapToGrid/>
        <w:spacing w:beforeAutospacing="1" w:afterAutospacing="1" w:line="560" w:lineRule="exact"/>
        <w:ind w:firstLine="640" w:firstLineChars="200"/>
        <w:jc w:val="left"/>
        <w:textAlignment w:val="auto"/>
        <w:rPr>
          <w:rFonts w:hint="eastAsia" w:ascii="仿宋_GB2312" w:hAnsi="ˎ̥" w:eastAsia="仿宋_GB2312"/>
          <w:color w:val="FF0000"/>
          <w:sz w:val="32"/>
          <w:szCs w:val="32"/>
          <w:highlight w:val="none"/>
        </w:rPr>
      </w:pPr>
      <w:r>
        <w:rPr>
          <w:rFonts w:hint="eastAsia" w:ascii="黑体" w:hAnsi="黑体" w:eastAsia="黑体" w:cs="黑体"/>
          <w:bCs/>
          <w:color w:val="000000"/>
          <w:sz w:val="32"/>
          <w:szCs w:val="32"/>
          <w:highlight w:val="none"/>
        </w:rPr>
        <w:t>一、收入支出总体情况说明</w:t>
      </w:r>
      <w:r>
        <w:rPr>
          <w:rFonts w:hint="eastAsia" w:ascii="黑体" w:hAnsi="黑体" w:eastAsia="黑体" w:cs="黑体"/>
          <w:bCs/>
          <w:color w:val="000000"/>
          <w:sz w:val="32"/>
          <w:szCs w:val="32"/>
          <w:highlight w:val="none"/>
        </w:rPr>
        <w:br w:type="textWrapping"/>
      </w:r>
      <w:r>
        <w:rPr>
          <w:rFonts w:hint="eastAsia" w:ascii="楷体_GB2312" w:hAnsi="ˎ̥" w:eastAsia="楷体_GB2312"/>
          <w:color w:val="000000"/>
          <w:sz w:val="32"/>
          <w:szCs w:val="32"/>
          <w:highlight w:val="none"/>
        </w:rPr>
        <w:t xml:space="preserve">    </w:t>
      </w:r>
      <w:r>
        <w:rPr>
          <w:rFonts w:hint="eastAsia" w:ascii="仿宋_GB2312" w:hAnsi="ˎ̥" w:eastAsia="仿宋_GB2312"/>
          <w:color w:val="000000"/>
          <w:sz w:val="32"/>
          <w:szCs w:val="32"/>
          <w:highlight w:val="none"/>
        </w:rPr>
        <w:t>2022年度收入总计</w:t>
      </w:r>
      <w:r>
        <w:rPr>
          <w:rFonts w:hint="eastAsia" w:ascii="仿宋_GB2312" w:hAnsi="ˎ̥" w:eastAsia="仿宋_GB2312"/>
          <w:color w:val="auto"/>
          <w:w w:val="105"/>
          <w:sz w:val="32"/>
          <w:szCs w:val="32"/>
          <w:lang w:val="en-US" w:eastAsia="zh-CN"/>
        </w:rPr>
        <w:t>570.63</w:t>
      </w:r>
      <w:r>
        <w:rPr>
          <w:rFonts w:hint="eastAsia" w:ascii="仿宋_GB2312" w:hAnsi="ˎ̥" w:eastAsia="仿宋_GB2312"/>
          <w:color w:val="000000"/>
          <w:sz w:val="32"/>
          <w:szCs w:val="32"/>
          <w:highlight w:val="none"/>
        </w:rPr>
        <w:t>万元，支出总计</w:t>
      </w:r>
      <w:r>
        <w:rPr>
          <w:rFonts w:hint="eastAsia" w:ascii="仿宋_GB2312" w:hAnsi="ˎ̥" w:eastAsia="仿宋_GB2312"/>
          <w:color w:val="auto"/>
          <w:w w:val="105"/>
          <w:sz w:val="32"/>
          <w:szCs w:val="32"/>
          <w:lang w:val="en-US" w:eastAsia="zh-CN"/>
        </w:rPr>
        <w:t>570.63</w:t>
      </w:r>
      <w:r>
        <w:rPr>
          <w:rFonts w:hint="eastAsia" w:ascii="仿宋_GB2312" w:hAnsi="ˎ̥" w:eastAsia="仿宋_GB2312"/>
          <w:color w:val="000000"/>
          <w:sz w:val="32"/>
          <w:szCs w:val="32"/>
          <w:highlight w:val="none"/>
        </w:rPr>
        <w:t>万元，与2021年度相比，收入、支出总计各</w:t>
      </w:r>
      <w:r>
        <w:rPr>
          <w:rFonts w:hint="eastAsia" w:ascii="仿宋_GB2312" w:hAnsi="ˎ̥" w:eastAsia="仿宋_GB2312"/>
          <w:color w:val="000000"/>
          <w:sz w:val="32"/>
          <w:szCs w:val="32"/>
          <w:highlight w:val="none"/>
          <w:lang w:eastAsia="zh-CN"/>
        </w:rPr>
        <w:t>增加</w:t>
      </w:r>
      <w:r>
        <w:rPr>
          <w:rFonts w:hint="eastAsia" w:ascii="仿宋" w:hAnsi="仿宋" w:eastAsia="仿宋" w:cs="仿宋_GB2312"/>
          <w:color w:val="auto"/>
          <w:sz w:val="30"/>
          <w:szCs w:val="30"/>
          <w:lang w:val="en-US" w:eastAsia="zh-CN"/>
        </w:rPr>
        <w:t>36.91</w:t>
      </w:r>
      <w:r>
        <w:rPr>
          <w:rFonts w:hint="eastAsia" w:ascii="仿宋_GB2312" w:hAnsi="ˎ̥" w:eastAsia="仿宋_GB2312"/>
          <w:color w:val="000000"/>
          <w:sz w:val="32"/>
          <w:szCs w:val="32"/>
          <w:highlight w:val="none"/>
        </w:rPr>
        <w:t>万元</w:t>
      </w:r>
      <w:r>
        <w:rPr>
          <w:rFonts w:hint="eastAsia" w:ascii="仿宋_GB2312" w:hAnsi="ˎ̥" w:eastAsia="仿宋_GB2312"/>
          <w:color w:val="000000"/>
          <w:sz w:val="32"/>
          <w:szCs w:val="32"/>
          <w:highlight w:val="none"/>
          <w:lang w:eastAsia="zh-CN"/>
        </w:rPr>
        <w:t>和增加</w:t>
      </w:r>
      <w:r>
        <w:rPr>
          <w:rFonts w:hint="eastAsia" w:ascii="仿宋" w:hAnsi="仿宋" w:eastAsia="仿宋" w:cs="仿宋_GB2312"/>
          <w:color w:val="auto"/>
          <w:sz w:val="30"/>
          <w:szCs w:val="30"/>
          <w:lang w:val="en-US" w:eastAsia="zh-CN"/>
        </w:rPr>
        <w:t>20.23</w:t>
      </w:r>
      <w:r>
        <w:rPr>
          <w:rFonts w:hint="eastAsia" w:ascii="仿宋_GB2312" w:hAnsi="ˎ̥" w:eastAsia="仿宋_GB2312"/>
          <w:color w:val="000000"/>
          <w:sz w:val="32"/>
          <w:szCs w:val="32"/>
          <w:highlight w:val="none"/>
          <w:lang w:val="en-US" w:eastAsia="zh-CN"/>
        </w:rPr>
        <w:t>万元</w:t>
      </w:r>
      <w:r>
        <w:rPr>
          <w:rFonts w:hint="eastAsia" w:ascii="仿宋_GB2312" w:hAnsi="ˎ̥" w:eastAsia="仿宋_GB2312"/>
          <w:color w:val="000000"/>
          <w:sz w:val="32"/>
          <w:szCs w:val="32"/>
          <w:highlight w:val="none"/>
        </w:rPr>
        <w:t>，</w:t>
      </w:r>
      <w:r>
        <w:rPr>
          <w:rFonts w:hint="eastAsia" w:ascii="仿宋_GB2312" w:hAnsi="ˎ̥" w:eastAsia="仿宋_GB2312"/>
          <w:color w:val="000000"/>
          <w:sz w:val="32"/>
          <w:szCs w:val="32"/>
          <w:highlight w:val="none"/>
          <w:lang w:eastAsia="zh-CN"/>
        </w:rPr>
        <w:t>增长</w:t>
      </w:r>
      <w:r>
        <w:rPr>
          <w:rFonts w:hint="eastAsia" w:ascii="仿宋" w:hAnsi="仿宋" w:eastAsia="仿宋" w:cs="仿宋_GB2312"/>
          <w:color w:val="auto"/>
          <w:sz w:val="30"/>
          <w:szCs w:val="30"/>
          <w:lang w:val="en-US" w:eastAsia="zh-CN"/>
        </w:rPr>
        <w:t>6.92</w:t>
      </w:r>
      <w:r>
        <w:rPr>
          <w:rFonts w:hint="eastAsia" w:ascii="仿宋" w:hAnsi="仿宋" w:eastAsia="仿宋" w:cs="仿宋_GB2312"/>
          <w:color w:val="auto"/>
          <w:sz w:val="30"/>
          <w:szCs w:val="30"/>
        </w:rPr>
        <w:t>%</w:t>
      </w:r>
      <w:r>
        <w:rPr>
          <w:rFonts w:hint="eastAsia" w:ascii="仿宋_GB2312" w:hAnsi="ˎ̥" w:eastAsia="仿宋_GB2312"/>
          <w:color w:val="000000"/>
          <w:sz w:val="32"/>
          <w:szCs w:val="32"/>
          <w:highlight w:val="none"/>
          <w:lang w:eastAsia="zh-CN"/>
        </w:rPr>
        <w:t>和增长</w:t>
      </w:r>
      <w:r>
        <w:rPr>
          <w:rFonts w:hint="eastAsia" w:ascii="仿宋" w:hAnsi="仿宋" w:eastAsia="仿宋" w:cs="仿宋_GB2312"/>
          <w:color w:val="auto"/>
          <w:sz w:val="30"/>
          <w:szCs w:val="30"/>
          <w:lang w:val="en-US" w:eastAsia="zh-CN"/>
        </w:rPr>
        <w:t>3.68</w:t>
      </w:r>
      <w:r>
        <w:rPr>
          <w:rFonts w:hint="eastAsia" w:ascii="仿宋" w:hAnsi="仿宋" w:eastAsia="仿宋" w:cs="仿宋_GB2312"/>
          <w:color w:val="auto"/>
          <w:sz w:val="30"/>
          <w:szCs w:val="30"/>
        </w:rPr>
        <w:t>%</w:t>
      </w:r>
      <w:r>
        <w:rPr>
          <w:rFonts w:hint="eastAsia" w:ascii="仿宋_GB2312" w:hAnsi="ˎ̥" w:eastAsia="仿宋_GB2312"/>
          <w:color w:val="000000"/>
          <w:sz w:val="32"/>
          <w:szCs w:val="32"/>
          <w:highlight w:val="none"/>
        </w:rPr>
        <w:t>。主要原因：</w:t>
      </w:r>
      <w:r>
        <w:rPr>
          <w:rFonts w:hint="default" w:ascii="仿宋_GB2312" w:hAnsi="ˎ̥" w:eastAsia="仿宋_GB2312" w:cs="仿宋_GB2312"/>
          <w:kern w:val="0"/>
          <w:sz w:val="32"/>
          <w:szCs w:val="32"/>
        </w:rPr>
        <w:t>一是社会保障和就业支出增加；二是</w:t>
      </w:r>
      <w:r>
        <w:rPr>
          <w:rFonts w:hint="eastAsia" w:ascii="仿宋_GB2312" w:hAnsi="ˎ̥" w:eastAsia="仿宋_GB2312" w:cs="仿宋_GB2312"/>
          <w:kern w:val="0"/>
          <w:sz w:val="32"/>
          <w:szCs w:val="32"/>
          <w:lang w:eastAsia="zh-CN"/>
        </w:rPr>
        <w:t>人员薪资逐年</w:t>
      </w:r>
      <w:r>
        <w:rPr>
          <w:rFonts w:hint="default" w:ascii="仿宋_GB2312" w:hAnsi="ˎ̥" w:eastAsia="仿宋_GB2312" w:cs="仿宋_GB2312"/>
          <w:kern w:val="0"/>
          <w:sz w:val="32"/>
          <w:szCs w:val="32"/>
        </w:rPr>
        <w:t>支出增加</w:t>
      </w:r>
      <w:r>
        <w:rPr>
          <w:rFonts w:hint="eastAsia" w:ascii="仿宋_GB2312" w:hAnsi="ˎ̥" w:eastAsia="仿宋_GB2312"/>
          <w:color w:val="000000"/>
          <w:sz w:val="32"/>
          <w:szCs w:val="32"/>
          <w:highlight w:val="none"/>
        </w:rPr>
        <w:t>。使用非财政拨款结余</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万元，较2021年度决算数增加</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万元，主要原因是</w:t>
      </w:r>
      <w:r>
        <w:rPr>
          <w:rFonts w:hint="eastAsia" w:ascii="仿宋_GB2312" w:hAnsi="ˎ̥" w:eastAsia="仿宋_GB2312"/>
          <w:color w:val="000000"/>
          <w:sz w:val="32"/>
          <w:szCs w:val="32"/>
          <w:highlight w:val="none"/>
          <w:lang w:eastAsia="zh-CN"/>
        </w:rPr>
        <w:t>本年与上年均无</w:t>
      </w:r>
      <w:r>
        <w:rPr>
          <w:rFonts w:hint="eastAsia" w:ascii="仿宋_GB2312" w:hAnsi="ˎ̥" w:eastAsia="仿宋_GB2312"/>
          <w:color w:val="000000"/>
          <w:sz w:val="32"/>
          <w:szCs w:val="32"/>
          <w:highlight w:val="none"/>
        </w:rPr>
        <w:t>非财政拨款结余。年初结转结余</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元，</w:t>
      </w:r>
      <w:r>
        <w:rPr>
          <w:rFonts w:hint="eastAsia" w:ascii="仿宋" w:hAnsi="仿宋" w:eastAsia="仿宋" w:cs="仿宋_GB2312"/>
          <w:color w:val="auto"/>
          <w:sz w:val="30"/>
          <w:szCs w:val="30"/>
        </w:rPr>
        <w:t>主要是</w:t>
      </w:r>
      <w:r>
        <w:rPr>
          <w:rFonts w:hint="eastAsia" w:ascii="仿宋_GB2312" w:hAnsi="ˎ̥" w:eastAsia="仿宋_GB2312"/>
          <w:color w:val="auto"/>
          <w:sz w:val="32"/>
          <w:szCs w:val="32"/>
          <w:lang w:val="en-US" w:eastAsia="zh-CN"/>
        </w:rPr>
        <w:t>本年初无</w:t>
      </w:r>
      <w:r>
        <w:rPr>
          <w:rFonts w:hint="eastAsia" w:ascii="仿宋_GB2312" w:hAnsi="ˎ̥" w:eastAsia="仿宋_GB2312"/>
          <w:color w:val="auto"/>
          <w:sz w:val="32"/>
          <w:szCs w:val="32"/>
          <w:lang w:eastAsia="zh-CN"/>
        </w:rPr>
        <w:t>结余，较</w:t>
      </w:r>
      <w:r>
        <w:rPr>
          <w:rFonts w:hint="eastAsia" w:ascii="仿宋_GB2312" w:hAnsi="ˎ̥" w:eastAsia="仿宋_GB2312"/>
          <w:color w:val="auto"/>
          <w:sz w:val="32"/>
          <w:szCs w:val="32"/>
          <w:lang w:val="en-US" w:eastAsia="zh-CN"/>
        </w:rPr>
        <w:t>2021年度决算数减少16.68</w:t>
      </w:r>
      <w:r>
        <w:rPr>
          <w:rFonts w:hint="eastAsia" w:ascii="仿宋_GB2312" w:hAnsi="ˎ̥" w:eastAsia="仿宋_GB2312"/>
          <w:color w:val="auto"/>
          <w:sz w:val="32"/>
          <w:szCs w:val="32"/>
        </w:rPr>
        <w:t>万元</w:t>
      </w:r>
      <w:r>
        <w:rPr>
          <w:rFonts w:hint="eastAsia" w:ascii="仿宋_GB2312" w:hAnsi="ˎ̥" w:eastAsia="仿宋_GB2312"/>
          <w:color w:val="auto"/>
          <w:sz w:val="32"/>
          <w:szCs w:val="32"/>
          <w:lang w:eastAsia="zh-CN"/>
        </w:rPr>
        <w:t>，</w:t>
      </w:r>
      <w:r>
        <w:rPr>
          <w:rFonts w:hint="eastAsia" w:ascii="仿宋_GB2312" w:hAnsi="ˎ̥" w:eastAsia="仿宋_GB2312"/>
          <w:color w:val="auto"/>
          <w:sz w:val="32"/>
          <w:szCs w:val="32"/>
          <w:lang w:val="en-US" w:eastAsia="zh-CN"/>
        </w:rPr>
        <w:t>下降100</w:t>
      </w:r>
      <w:r>
        <w:rPr>
          <w:rFonts w:hint="eastAsia" w:ascii="仿宋_GB2312" w:hAnsi="ˎ̥" w:eastAsia="仿宋_GB2312"/>
          <w:color w:val="auto"/>
          <w:sz w:val="32"/>
          <w:szCs w:val="32"/>
        </w:rPr>
        <w:t>%</w:t>
      </w:r>
      <w:r>
        <w:rPr>
          <w:rFonts w:hint="eastAsia" w:ascii="仿宋_GB2312" w:hAnsi="ˎ̥" w:eastAsia="仿宋_GB2312"/>
          <w:color w:val="auto"/>
          <w:sz w:val="32"/>
          <w:szCs w:val="32"/>
          <w:lang w:eastAsia="zh-CN"/>
        </w:rPr>
        <w:t>，</w:t>
      </w:r>
      <w:r>
        <w:rPr>
          <w:rFonts w:hint="eastAsia" w:ascii="仿宋_GB2312" w:hAnsi="ˎ̥" w:eastAsia="仿宋_GB2312"/>
          <w:color w:val="000000"/>
          <w:sz w:val="32"/>
          <w:szCs w:val="32"/>
          <w:highlight w:val="none"/>
        </w:rPr>
        <w:t>主要原因是</w:t>
      </w:r>
      <w:r>
        <w:rPr>
          <w:rFonts w:hint="eastAsia" w:ascii="仿宋_GB2312" w:hAnsi="ˎ̥" w:eastAsia="仿宋_GB2312"/>
          <w:color w:val="000000"/>
          <w:sz w:val="32"/>
          <w:szCs w:val="32"/>
          <w:highlight w:val="none"/>
          <w:lang w:eastAsia="zh-CN"/>
        </w:rPr>
        <w:t>年初结转结余为公户账户经费</w:t>
      </w:r>
      <w:r>
        <w:rPr>
          <w:rFonts w:hint="eastAsia" w:ascii="仿宋_GB2312" w:hAnsi="ˎ̥" w:eastAsia="仿宋_GB2312"/>
          <w:color w:val="000000"/>
          <w:sz w:val="32"/>
          <w:szCs w:val="32"/>
          <w:highlight w:val="none"/>
        </w:rPr>
        <w:t>。结余分配</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万元，主要是</w:t>
      </w:r>
      <w:r>
        <w:rPr>
          <w:rFonts w:hint="eastAsia" w:ascii="仿宋_GB2312" w:hAnsi="ˎ̥" w:eastAsia="仿宋_GB2312"/>
          <w:color w:val="000000"/>
          <w:sz w:val="32"/>
          <w:szCs w:val="32"/>
          <w:highlight w:val="none"/>
          <w:lang w:eastAsia="zh-CN"/>
        </w:rPr>
        <w:t>本年度无结余分配</w:t>
      </w:r>
      <w:r>
        <w:rPr>
          <w:rFonts w:hint="eastAsia" w:ascii="仿宋_GB2312" w:hAnsi="ˎ̥" w:eastAsia="仿宋_GB2312"/>
          <w:color w:val="000000"/>
          <w:sz w:val="32"/>
          <w:szCs w:val="32"/>
          <w:highlight w:val="none"/>
        </w:rPr>
        <w:t>，较2021年度决算数增加</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万元，增长</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%，主要原因是</w:t>
      </w:r>
      <w:r>
        <w:rPr>
          <w:rFonts w:hint="eastAsia" w:ascii="仿宋_GB2312" w:hAnsi="ˎ̥" w:eastAsia="仿宋_GB2312"/>
          <w:color w:val="000000"/>
          <w:sz w:val="32"/>
          <w:szCs w:val="32"/>
          <w:highlight w:val="none"/>
          <w:lang w:eastAsia="zh-CN"/>
        </w:rPr>
        <w:t>本年度与上年度均无结余分配</w:t>
      </w:r>
      <w:r>
        <w:rPr>
          <w:rFonts w:hint="eastAsia" w:ascii="仿宋_GB2312" w:hAnsi="ˎ̥" w:eastAsia="仿宋_GB2312"/>
          <w:color w:val="000000"/>
          <w:sz w:val="32"/>
          <w:szCs w:val="32"/>
          <w:highlight w:val="none"/>
        </w:rPr>
        <w:t>。</w:t>
      </w:r>
      <w:r>
        <w:rPr>
          <w:rFonts w:hint="eastAsia" w:ascii="仿宋_GB2312" w:hAnsi="ˎ̥" w:eastAsia="仿宋_GB2312"/>
          <w:color w:val="auto"/>
          <w:sz w:val="32"/>
          <w:szCs w:val="32"/>
          <w:lang w:eastAsia="zh-CN"/>
        </w:rPr>
        <w:t>年末结转结余</w:t>
      </w:r>
      <w:r>
        <w:rPr>
          <w:rFonts w:hint="eastAsia" w:ascii="仿宋_GB2312" w:hAnsi="ˎ̥" w:eastAsia="仿宋_GB2312"/>
          <w:color w:val="auto"/>
          <w:sz w:val="32"/>
          <w:szCs w:val="32"/>
          <w:lang w:val="en-US" w:eastAsia="zh-CN"/>
        </w:rPr>
        <w:t>0</w:t>
      </w:r>
      <w:r>
        <w:rPr>
          <w:rFonts w:hint="eastAsia" w:ascii="仿宋_GB2312" w:hAnsi="ˎ̥" w:eastAsia="仿宋_GB2312"/>
          <w:color w:val="auto"/>
          <w:sz w:val="32"/>
          <w:szCs w:val="32"/>
        </w:rPr>
        <w:t>万元</w:t>
      </w:r>
      <w:r>
        <w:rPr>
          <w:rFonts w:hint="eastAsia" w:ascii="仿宋_GB2312" w:hAnsi="ˎ̥" w:eastAsia="仿宋_GB2312"/>
          <w:color w:val="auto"/>
          <w:sz w:val="32"/>
          <w:szCs w:val="32"/>
          <w:lang w:eastAsia="zh-CN"/>
        </w:rPr>
        <w:t>，</w:t>
      </w:r>
      <w:r>
        <w:rPr>
          <w:rFonts w:hint="eastAsia" w:ascii="仿宋" w:hAnsi="仿宋" w:eastAsia="仿宋" w:cs="仿宋_GB2312"/>
          <w:color w:val="auto"/>
          <w:sz w:val="30"/>
          <w:szCs w:val="30"/>
        </w:rPr>
        <w:t>主要是</w:t>
      </w:r>
      <w:r>
        <w:rPr>
          <w:rFonts w:hint="eastAsia" w:ascii="仿宋_GB2312" w:hAnsi="ˎ̥" w:eastAsia="仿宋_GB2312"/>
          <w:color w:val="auto"/>
          <w:sz w:val="32"/>
          <w:szCs w:val="32"/>
          <w:lang w:val="en-US" w:eastAsia="zh-CN"/>
        </w:rPr>
        <w:t>本年末无</w:t>
      </w:r>
      <w:r>
        <w:rPr>
          <w:rFonts w:hint="eastAsia" w:ascii="仿宋_GB2312" w:hAnsi="ˎ̥" w:eastAsia="仿宋_GB2312"/>
          <w:color w:val="auto"/>
          <w:sz w:val="32"/>
          <w:szCs w:val="32"/>
          <w:lang w:eastAsia="zh-CN"/>
        </w:rPr>
        <w:t>结余</w:t>
      </w:r>
      <w:r>
        <w:rPr>
          <w:rFonts w:hint="eastAsia" w:ascii="仿宋" w:hAnsi="仿宋" w:eastAsia="仿宋" w:cs="仿宋_GB2312"/>
          <w:color w:val="auto"/>
          <w:sz w:val="30"/>
          <w:szCs w:val="30"/>
          <w:lang w:eastAsia="zh-CN"/>
        </w:rPr>
        <w:t>，</w:t>
      </w:r>
      <w:r>
        <w:rPr>
          <w:rFonts w:hint="eastAsia" w:ascii="仿宋_GB2312" w:hAnsi="ˎ̥" w:eastAsia="仿宋_GB2312"/>
          <w:color w:val="auto"/>
          <w:sz w:val="32"/>
          <w:szCs w:val="32"/>
          <w:lang w:eastAsia="zh-CN"/>
        </w:rPr>
        <w:t>较</w:t>
      </w:r>
      <w:r>
        <w:rPr>
          <w:rFonts w:hint="eastAsia" w:ascii="仿宋_GB2312" w:hAnsi="ˎ̥" w:eastAsia="仿宋_GB2312"/>
          <w:color w:val="auto"/>
          <w:sz w:val="32"/>
          <w:szCs w:val="32"/>
          <w:lang w:val="en-US" w:eastAsia="zh-CN"/>
        </w:rPr>
        <w:t>2021年度决算数增加0</w:t>
      </w:r>
      <w:r>
        <w:rPr>
          <w:rFonts w:hint="eastAsia" w:ascii="仿宋_GB2312" w:hAnsi="ˎ̥" w:eastAsia="仿宋_GB2312"/>
          <w:color w:val="auto"/>
          <w:sz w:val="32"/>
          <w:szCs w:val="32"/>
        </w:rPr>
        <w:t>万元</w:t>
      </w:r>
      <w:r>
        <w:rPr>
          <w:rFonts w:hint="eastAsia" w:ascii="仿宋_GB2312" w:hAnsi="ˎ̥" w:eastAsia="仿宋_GB2312"/>
          <w:color w:val="auto"/>
          <w:sz w:val="32"/>
          <w:szCs w:val="32"/>
          <w:lang w:eastAsia="zh-CN"/>
        </w:rPr>
        <w:t>，</w:t>
      </w:r>
      <w:r>
        <w:rPr>
          <w:rFonts w:hint="eastAsia" w:ascii="仿宋_GB2312" w:hAnsi="ˎ̥" w:eastAsia="仿宋_GB2312"/>
          <w:color w:val="auto"/>
          <w:sz w:val="32"/>
          <w:szCs w:val="32"/>
          <w:lang w:val="en-US" w:eastAsia="zh-CN"/>
        </w:rPr>
        <w:t>增加0</w:t>
      </w:r>
      <w:r>
        <w:rPr>
          <w:rFonts w:hint="eastAsia" w:ascii="仿宋_GB2312" w:hAnsi="ˎ̥" w:eastAsia="仿宋_GB2312"/>
          <w:color w:val="auto"/>
          <w:sz w:val="32"/>
          <w:szCs w:val="32"/>
        </w:rPr>
        <w:t>%</w:t>
      </w:r>
      <w:r>
        <w:rPr>
          <w:rFonts w:hint="eastAsia" w:ascii="仿宋_GB2312" w:hAnsi="ˎ̥" w:eastAsia="仿宋_GB2312"/>
          <w:color w:val="auto"/>
          <w:sz w:val="32"/>
          <w:szCs w:val="32"/>
          <w:lang w:eastAsia="zh-CN"/>
        </w:rPr>
        <w:t>，</w:t>
      </w:r>
      <w:r>
        <w:rPr>
          <w:rFonts w:hint="eastAsia" w:ascii="仿宋_GB2312" w:hAnsi="ˎ̥" w:eastAsia="仿宋_GB2312"/>
          <w:color w:val="000000"/>
          <w:sz w:val="32"/>
          <w:szCs w:val="32"/>
          <w:highlight w:val="none"/>
        </w:rPr>
        <w:t>主要原因是</w:t>
      </w:r>
      <w:r>
        <w:rPr>
          <w:rFonts w:hint="eastAsia" w:ascii="仿宋_GB2312" w:hAnsi="ˎ̥" w:eastAsia="仿宋_GB2312"/>
          <w:color w:val="000000"/>
          <w:sz w:val="32"/>
          <w:szCs w:val="32"/>
          <w:highlight w:val="none"/>
          <w:lang w:eastAsia="zh-CN"/>
        </w:rPr>
        <w:t>本年度与上年度均无结余</w:t>
      </w:r>
      <w:r>
        <w:rPr>
          <w:rFonts w:hint="eastAsia" w:ascii="仿宋_GB2312" w:hAnsi="ˎ̥" w:eastAsia="仿宋_GB2312"/>
          <w:color w:val="000000"/>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ˎ̥" w:eastAsia="仿宋_GB2312"/>
          <w:color w:val="000000"/>
          <w:sz w:val="32"/>
          <w:szCs w:val="32"/>
          <w:highlight w:val="none"/>
        </w:rPr>
      </w:pPr>
      <w:r>
        <w:rPr>
          <w:rFonts w:hint="eastAsia" w:ascii="黑体" w:hAnsi="黑体" w:eastAsia="黑体" w:cs="黑体"/>
          <w:bCs/>
          <w:color w:val="000000"/>
          <w:sz w:val="32"/>
          <w:szCs w:val="32"/>
          <w:highlight w:val="none"/>
        </w:rPr>
        <w:t>二、收入决算情况说明</w:t>
      </w:r>
      <w:r>
        <w:rPr>
          <w:rFonts w:hint="eastAsia" w:ascii="黑体" w:hAnsi="黑体" w:eastAsia="黑体" w:cs="黑体"/>
          <w:bCs/>
          <w:color w:val="000000"/>
          <w:sz w:val="32"/>
          <w:szCs w:val="32"/>
          <w:highlight w:val="none"/>
        </w:rPr>
        <w:br w:type="textWrapping"/>
      </w:r>
      <w:r>
        <w:rPr>
          <w:rFonts w:hint="eastAsia" w:ascii="仿宋_GB2312" w:hAnsi="ˎ̥" w:eastAsia="仿宋_GB2312"/>
          <w:color w:val="000000"/>
          <w:sz w:val="32"/>
          <w:szCs w:val="32"/>
          <w:highlight w:val="none"/>
        </w:rPr>
        <w:t xml:space="preserve">    本年收入合计</w:t>
      </w:r>
      <w:r>
        <w:rPr>
          <w:rFonts w:hint="eastAsia" w:ascii="仿宋_GB2312" w:hAnsi="ˎ̥" w:eastAsia="仿宋_GB2312"/>
          <w:color w:val="000000"/>
          <w:sz w:val="32"/>
          <w:szCs w:val="32"/>
          <w:highlight w:val="none"/>
          <w:lang w:val="en-US" w:eastAsia="zh-CN"/>
        </w:rPr>
        <w:t>570.63</w:t>
      </w:r>
      <w:r>
        <w:rPr>
          <w:rFonts w:hint="eastAsia" w:ascii="仿宋_GB2312" w:hAnsi="ˎ̥" w:eastAsia="仿宋_GB2312"/>
          <w:color w:val="000000"/>
          <w:sz w:val="32"/>
          <w:szCs w:val="32"/>
          <w:highlight w:val="none"/>
        </w:rPr>
        <w:t>万元，其中：财政拨款收入</w:t>
      </w:r>
      <w:r>
        <w:rPr>
          <w:rFonts w:hint="eastAsia" w:ascii="仿宋_GB2312" w:hAnsi="ˎ̥" w:eastAsia="仿宋_GB2312"/>
          <w:color w:val="000000"/>
          <w:sz w:val="32"/>
          <w:szCs w:val="32"/>
          <w:highlight w:val="none"/>
          <w:lang w:val="en-US" w:eastAsia="zh-CN"/>
        </w:rPr>
        <w:t>570.63</w:t>
      </w:r>
      <w:r>
        <w:rPr>
          <w:rFonts w:hint="eastAsia" w:ascii="仿宋_GB2312" w:hAnsi="ˎ̥" w:eastAsia="仿宋_GB2312"/>
          <w:color w:val="000000"/>
          <w:sz w:val="32"/>
          <w:szCs w:val="32"/>
          <w:highlight w:val="none"/>
        </w:rPr>
        <w:t>万元，占</w:t>
      </w:r>
      <w:r>
        <w:rPr>
          <w:rFonts w:hint="eastAsia" w:ascii="仿宋_GB2312" w:hAnsi="ˎ̥" w:eastAsia="仿宋_GB2312"/>
          <w:color w:val="000000"/>
          <w:sz w:val="32"/>
          <w:szCs w:val="32"/>
          <w:highlight w:val="none"/>
          <w:lang w:val="en-US" w:eastAsia="zh-CN"/>
        </w:rPr>
        <w:t>100</w:t>
      </w:r>
      <w:r>
        <w:rPr>
          <w:rFonts w:hint="eastAsia" w:ascii="仿宋_GB2312" w:hAnsi="ˎ̥" w:eastAsia="仿宋_GB2312"/>
          <w:color w:val="000000"/>
          <w:sz w:val="32"/>
          <w:szCs w:val="32"/>
          <w:highlight w:val="none"/>
        </w:rPr>
        <w:t>%；上级补助收入</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万元，占</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w:t>
      </w:r>
      <w:r>
        <w:rPr>
          <w:rFonts w:hint="eastAsia" w:ascii="仿宋_GB2312" w:hAnsi="ˎ̥" w:eastAsia="仿宋_GB2312"/>
          <w:color w:val="000000"/>
          <w:sz w:val="32"/>
          <w:szCs w:val="32"/>
          <w:highlight w:val="none"/>
          <w:lang w:eastAsia="zh-CN"/>
        </w:rPr>
        <w:t>；</w:t>
      </w:r>
      <w:r>
        <w:rPr>
          <w:rFonts w:hint="eastAsia" w:ascii="仿宋_GB2312" w:hAnsi="ˎ̥" w:eastAsia="仿宋_GB2312"/>
          <w:color w:val="000000"/>
          <w:sz w:val="32"/>
          <w:szCs w:val="32"/>
          <w:highlight w:val="none"/>
        </w:rPr>
        <w:t>事业收入</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万元，占</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w:t>
      </w:r>
      <w:r>
        <w:rPr>
          <w:rFonts w:hint="eastAsia" w:ascii="仿宋_GB2312" w:hAnsi="ˎ̥" w:eastAsia="仿宋_GB2312"/>
          <w:color w:val="000000"/>
          <w:sz w:val="32"/>
          <w:szCs w:val="32"/>
          <w:highlight w:val="none"/>
          <w:lang w:eastAsia="zh-CN"/>
        </w:rPr>
        <w:t>；</w:t>
      </w:r>
      <w:r>
        <w:rPr>
          <w:rFonts w:hint="eastAsia" w:ascii="仿宋_GB2312" w:hAnsi="ˎ̥" w:eastAsia="仿宋_GB2312"/>
          <w:color w:val="000000"/>
          <w:sz w:val="32"/>
          <w:szCs w:val="32"/>
          <w:highlight w:val="none"/>
        </w:rPr>
        <w:t>经营收入</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万元，占</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w:t>
      </w:r>
      <w:r>
        <w:rPr>
          <w:rFonts w:hint="eastAsia" w:ascii="仿宋_GB2312" w:hAnsi="ˎ̥" w:eastAsia="仿宋_GB2312"/>
          <w:color w:val="000000"/>
          <w:sz w:val="32"/>
          <w:szCs w:val="32"/>
          <w:highlight w:val="none"/>
          <w:lang w:eastAsia="zh-CN"/>
        </w:rPr>
        <w:t>；</w:t>
      </w:r>
      <w:r>
        <w:rPr>
          <w:rFonts w:hint="eastAsia" w:ascii="仿宋_GB2312" w:hAnsi="ˎ̥" w:eastAsia="仿宋_GB2312"/>
          <w:color w:val="000000"/>
          <w:sz w:val="32"/>
          <w:szCs w:val="32"/>
          <w:highlight w:val="none"/>
        </w:rPr>
        <w:t>附属单位上缴收入</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万元，占</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%；其他收入</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万元，占</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27" w:firstLineChars="196"/>
        <w:textAlignment w:val="auto"/>
        <w:rPr>
          <w:rFonts w:hint="eastAsia" w:ascii="黑体" w:hAnsi="黑体" w:eastAsia="黑体" w:cs="黑体"/>
          <w:bCs/>
          <w:color w:val="000000"/>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27" w:firstLineChars="196"/>
        <w:textAlignment w:val="auto"/>
        <w:rPr>
          <w:rFonts w:hint="eastAsia" w:ascii="黑体" w:hAnsi="黑体" w:eastAsia="黑体" w:cs="黑体"/>
          <w:bCs/>
          <w:color w:val="000000"/>
          <w:sz w:val="32"/>
          <w:szCs w:val="32"/>
          <w:highlight w:val="none"/>
        </w:rPr>
      </w:pPr>
      <w:r>
        <w:rPr>
          <w:rFonts w:hint="eastAsia" w:ascii="黑体" w:hAnsi="黑体" w:eastAsia="黑体" w:cs="黑体"/>
          <w:bCs/>
          <w:color w:val="000000"/>
          <w:sz w:val="32"/>
          <w:szCs w:val="32"/>
          <w:highlight w:val="none"/>
        </w:rPr>
        <w:t>三、支出决算情况说明</w:t>
      </w:r>
    </w:p>
    <w:p>
      <w:pPr>
        <w:keepNext w:val="0"/>
        <w:keepLines w:val="0"/>
        <w:pageBreakBefore w:val="0"/>
        <w:widowControl/>
        <w:kinsoku/>
        <w:wordWrap/>
        <w:overflowPunct/>
        <w:topLinePunct w:val="0"/>
        <w:autoSpaceDE/>
        <w:autoSpaceDN/>
        <w:bidi w:val="0"/>
        <w:adjustRightInd/>
        <w:snapToGrid/>
        <w:spacing w:beforeAutospacing="1" w:afterAutospacing="1" w:line="560" w:lineRule="exact"/>
        <w:ind w:firstLine="627" w:firstLineChars="196"/>
        <w:jc w:val="left"/>
        <w:textAlignment w:val="auto"/>
        <w:rPr>
          <w:rFonts w:hint="eastAsia" w:ascii="仿宋_GB2312" w:hAnsi="ˎ̥" w:eastAsia="仿宋_GB2312"/>
          <w:sz w:val="32"/>
          <w:szCs w:val="32"/>
        </w:rPr>
      </w:pPr>
      <w:r>
        <w:rPr>
          <w:rFonts w:hint="eastAsia" w:ascii="仿宋_GB2312" w:hAnsi="ˎ̥" w:eastAsia="仿宋_GB2312"/>
          <w:color w:val="000000"/>
          <w:sz w:val="32"/>
          <w:szCs w:val="32"/>
          <w:highlight w:val="none"/>
        </w:rPr>
        <w:t>本年支出合计</w:t>
      </w:r>
      <w:r>
        <w:rPr>
          <w:rFonts w:hint="eastAsia" w:ascii="仿宋_GB2312" w:hAnsi="ˎ̥" w:eastAsia="仿宋_GB2312"/>
          <w:color w:val="000000"/>
          <w:sz w:val="32"/>
          <w:szCs w:val="32"/>
          <w:highlight w:val="none"/>
          <w:lang w:val="en-US" w:eastAsia="zh-CN"/>
        </w:rPr>
        <w:t>570.63</w:t>
      </w:r>
      <w:r>
        <w:rPr>
          <w:rFonts w:hint="eastAsia" w:ascii="仿宋_GB2312" w:hAnsi="ˎ̥" w:eastAsia="仿宋_GB2312"/>
          <w:color w:val="000000"/>
          <w:sz w:val="32"/>
          <w:szCs w:val="32"/>
          <w:highlight w:val="none"/>
        </w:rPr>
        <w:t>万元，</w:t>
      </w:r>
      <w:r>
        <w:rPr>
          <w:rFonts w:hint="eastAsia" w:ascii="仿宋_GB2312" w:hAnsi="ˎ̥" w:eastAsia="仿宋_GB2312"/>
          <w:sz w:val="32"/>
          <w:szCs w:val="32"/>
        </w:rPr>
        <w:t>其中：基本支出</w:t>
      </w:r>
      <w:r>
        <w:rPr>
          <w:rFonts w:hint="eastAsia" w:ascii="仿宋_GB2312" w:hAnsi="ˎ̥" w:eastAsia="仿宋_GB2312"/>
          <w:sz w:val="32"/>
          <w:szCs w:val="32"/>
          <w:lang w:val="en-US" w:eastAsia="zh-CN"/>
        </w:rPr>
        <w:t>489.14</w:t>
      </w:r>
      <w:r>
        <w:rPr>
          <w:rFonts w:hint="eastAsia" w:ascii="仿宋_GB2312" w:hAnsi="ˎ̥" w:eastAsia="仿宋_GB2312"/>
          <w:sz w:val="32"/>
          <w:szCs w:val="32"/>
        </w:rPr>
        <w:t>万元，占</w:t>
      </w:r>
      <w:r>
        <w:rPr>
          <w:rFonts w:hint="eastAsia" w:ascii="仿宋_GB2312" w:hAnsi="ˎ̥" w:eastAsia="仿宋_GB2312"/>
          <w:sz w:val="32"/>
          <w:szCs w:val="32"/>
          <w:lang w:val="en-US" w:eastAsia="zh-CN"/>
        </w:rPr>
        <w:t>85.72</w:t>
      </w:r>
      <w:r>
        <w:rPr>
          <w:rFonts w:hint="eastAsia" w:ascii="仿宋_GB2312" w:hAnsi="ˎ̥" w:eastAsia="仿宋_GB2312"/>
          <w:sz w:val="32"/>
          <w:szCs w:val="32"/>
        </w:rPr>
        <w:t>%；项目支出</w:t>
      </w:r>
      <w:r>
        <w:rPr>
          <w:rFonts w:hint="eastAsia" w:ascii="仿宋_GB2312" w:hAnsi="ˎ̥" w:eastAsia="仿宋_GB2312"/>
          <w:sz w:val="32"/>
          <w:szCs w:val="32"/>
          <w:lang w:val="en-US" w:eastAsia="zh-CN"/>
        </w:rPr>
        <w:t>81.49</w:t>
      </w:r>
      <w:r>
        <w:rPr>
          <w:rFonts w:hint="eastAsia" w:ascii="仿宋_GB2312" w:hAnsi="ˎ̥" w:eastAsia="仿宋_GB2312"/>
          <w:sz w:val="32"/>
          <w:szCs w:val="32"/>
        </w:rPr>
        <w:t>万元，占</w:t>
      </w:r>
      <w:r>
        <w:rPr>
          <w:rFonts w:hint="eastAsia" w:ascii="仿宋_GB2312" w:hAnsi="ˎ̥" w:eastAsia="仿宋_GB2312"/>
          <w:sz w:val="32"/>
          <w:szCs w:val="32"/>
          <w:lang w:val="en-US" w:eastAsia="zh-CN"/>
        </w:rPr>
        <w:t>14.28</w:t>
      </w:r>
      <w:r>
        <w:rPr>
          <w:rFonts w:hint="eastAsia" w:ascii="仿宋_GB2312" w:hAnsi="ˎ̥" w:eastAsia="仿宋_GB2312"/>
          <w:sz w:val="32"/>
          <w:szCs w:val="32"/>
        </w:rPr>
        <w:t>%；上缴上级支出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%；经营支出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%；对附属单位补助支出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w:t>
      </w:r>
    </w:p>
    <w:p>
      <w:pPr>
        <w:keepNext w:val="0"/>
        <w:keepLines w:val="0"/>
        <w:pageBreakBefore w:val="0"/>
        <w:kinsoku/>
        <w:wordWrap/>
        <w:overflowPunct/>
        <w:topLinePunct w:val="0"/>
        <w:autoSpaceDE/>
        <w:autoSpaceDN/>
        <w:bidi w:val="0"/>
        <w:adjustRightInd/>
        <w:snapToGrid/>
        <w:spacing w:line="560" w:lineRule="exact"/>
        <w:ind w:firstLine="627" w:firstLineChars="196"/>
        <w:textAlignment w:val="auto"/>
        <w:rPr>
          <w:rFonts w:hint="eastAsia" w:ascii="黑体" w:hAnsi="黑体" w:eastAsia="黑体" w:cs="黑体"/>
          <w:bCs/>
          <w:color w:val="000000"/>
          <w:sz w:val="32"/>
          <w:szCs w:val="32"/>
          <w:highlight w:val="none"/>
        </w:rPr>
      </w:pPr>
      <w:r>
        <w:rPr>
          <w:rFonts w:hint="eastAsia" w:ascii="黑体" w:hAnsi="黑体" w:eastAsia="黑体" w:cs="黑体"/>
          <w:bCs/>
          <w:color w:val="000000"/>
          <w:sz w:val="32"/>
          <w:szCs w:val="32"/>
          <w:highlight w:val="none"/>
        </w:rPr>
        <w:t>四、财政拨款收入支出决算总体情况说明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2022年度财政拨款收入</w:t>
      </w:r>
      <w:r>
        <w:rPr>
          <w:rFonts w:hint="eastAsia" w:ascii="仿宋_GB2312" w:hAnsi="ˎ̥" w:eastAsia="仿宋_GB2312"/>
          <w:color w:val="000000"/>
          <w:sz w:val="32"/>
          <w:szCs w:val="32"/>
          <w:highlight w:val="none"/>
          <w:lang w:val="en-US" w:eastAsia="zh-CN"/>
        </w:rPr>
        <w:t>570.63</w:t>
      </w:r>
      <w:r>
        <w:rPr>
          <w:rFonts w:hint="eastAsia" w:ascii="仿宋_GB2312" w:hAnsi="ˎ̥" w:eastAsia="仿宋_GB2312"/>
          <w:color w:val="000000"/>
          <w:sz w:val="32"/>
          <w:szCs w:val="32"/>
          <w:highlight w:val="none"/>
        </w:rPr>
        <w:t>万元，支出</w:t>
      </w:r>
      <w:r>
        <w:rPr>
          <w:rFonts w:hint="eastAsia" w:ascii="仿宋_GB2312" w:hAnsi="ˎ̥" w:eastAsia="仿宋_GB2312"/>
          <w:color w:val="000000"/>
          <w:sz w:val="32"/>
          <w:szCs w:val="32"/>
          <w:highlight w:val="none"/>
          <w:lang w:val="en-US" w:eastAsia="zh-CN"/>
        </w:rPr>
        <w:t>570.63</w:t>
      </w:r>
      <w:r>
        <w:rPr>
          <w:rFonts w:hint="eastAsia" w:ascii="仿宋_GB2312" w:hAnsi="ˎ̥" w:eastAsia="仿宋_GB2312"/>
          <w:color w:val="000000"/>
          <w:sz w:val="32"/>
          <w:szCs w:val="32"/>
          <w:highlight w:val="none"/>
        </w:rPr>
        <w:t>万元。与2021年度相比，财政拨款收入、支出各</w:t>
      </w:r>
      <w:r>
        <w:rPr>
          <w:rFonts w:hint="eastAsia" w:ascii="仿宋_GB2312" w:hAnsi="ˎ̥" w:eastAsia="仿宋_GB2312"/>
          <w:color w:val="000000"/>
          <w:sz w:val="32"/>
          <w:szCs w:val="32"/>
          <w:highlight w:val="none"/>
          <w:lang w:eastAsia="zh-CN"/>
        </w:rPr>
        <w:t>增加</w:t>
      </w:r>
      <w:r>
        <w:rPr>
          <w:rFonts w:hint="eastAsia" w:ascii="仿宋" w:hAnsi="仿宋" w:eastAsia="仿宋" w:cs="仿宋_GB2312"/>
          <w:sz w:val="30"/>
          <w:szCs w:val="30"/>
          <w:lang w:val="en-US" w:eastAsia="zh-CN"/>
        </w:rPr>
        <w:t>36.91</w:t>
      </w:r>
      <w:r>
        <w:rPr>
          <w:rFonts w:hint="eastAsia" w:ascii="仿宋_GB2312" w:hAnsi="ˎ̥" w:eastAsia="仿宋_GB2312"/>
          <w:color w:val="000000"/>
          <w:sz w:val="32"/>
          <w:szCs w:val="32"/>
          <w:highlight w:val="none"/>
        </w:rPr>
        <w:t>万元</w:t>
      </w:r>
      <w:r>
        <w:rPr>
          <w:rFonts w:hint="eastAsia" w:ascii="仿宋_GB2312" w:hAnsi="ˎ̥" w:eastAsia="仿宋_GB2312"/>
          <w:color w:val="000000"/>
          <w:sz w:val="32"/>
          <w:szCs w:val="32"/>
          <w:highlight w:val="none"/>
          <w:lang w:eastAsia="zh-CN"/>
        </w:rPr>
        <w:t>和增加</w:t>
      </w:r>
      <w:r>
        <w:rPr>
          <w:rFonts w:hint="eastAsia" w:ascii="仿宋" w:hAnsi="仿宋" w:eastAsia="仿宋" w:cs="仿宋_GB2312"/>
          <w:sz w:val="30"/>
          <w:szCs w:val="30"/>
          <w:lang w:val="en-US" w:eastAsia="zh-CN"/>
        </w:rPr>
        <w:t>20.23</w:t>
      </w:r>
      <w:r>
        <w:rPr>
          <w:rFonts w:hint="eastAsia" w:ascii="仿宋_GB2312" w:hAnsi="ˎ̥" w:eastAsia="仿宋_GB2312"/>
          <w:color w:val="000000"/>
          <w:sz w:val="32"/>
          <w:szCs w:val="32"/>
          <w:highlight w:val="none"/>
          <w:lang w:val="en-US" w:eastAsia="zh-CN"/>
        </w:rPr>
        <w:t>万元</w:t>
      </w:r>
      <w:r>
        <w:rPr>
          <w:rFonts w:hint="eastAsia" w:ascii="仿宋_GB2312" w:hAnsi="ˎ̥" w:eastAsia="仿宋_GB2312"/>
          <w:color w:val="000000"/>
          <w:sz w:val="32"/>
          <w:szCs w:val="32"/>
          <w:highlight w:val="none"/>
        </w:rPr>
        <w:t>，</w:t>
      </w:r>
      <w:r>
        <w:rPr>
          <w:rFonts w:hint="eastAsia" w:ascii="仿宋_GB2312" w:hAnsi="ˎ̥" w:eastAsia="仿宋_GB2312"/>
          <w:color w:val="000000"/>
          <w:sz w:val="32"/>
          <w:szCs w:val="32"/>
          <w:highlight w:val="none"/>
          <w:lang w:eastAsia="zh-CN"/>
        </w:rPr>
        <w:t>增长</w:t>
      </w:r>
      <w:r>
        <w:rPr>
          <w:rFonts w:hint="eastAsia" w:ascii="仿宋" w:hAnsi="仿宋" w:eastAsia="仿宋" w:cs="仿宋_GB2312"/>
          <w:sz w:val="30"/>
          <w:szCs w:val="30"/>
          <w:lang w:val="en-US" w:eastAsia="zh-CN"/>
        </w:rPr>
        <w:t>6.92</w:t>
      </w:r>
      <w:r>
        <w:rPr>
          <w:rFonts w:hint="eastAsia" w:ascii="仿宋_GB2312" w:hAnsi="ˎ̥" w:eastAsia="仿宋_GB2312"/>
          <w:color w:val="000000"/>
          <w:sz w:val="32"/>
          <w:szCs w:val="32"/>
          <w:highlight w:val="none"/>
        </w:rPr>
        <w:t>%</w:t>
      </w:r>
      <w:r>
        <w:rPr>
          <w:rFonts w:hint="eastAsia" w:ascii="仿宋_GB2312" w:hAnsi="ˎ̥" w:eastAsia="仿宋_GB2312"/>
          <w:color w:val="000000"/>
          <w:sz w:val="32"/>
          <w:szCs w:val="32"/>
          <w:highlight w:val="none"/>
          <w:lang w:eastAsia="zh-CN"/>
        </w:rPr>
        <w:t>和增长</w:t>
      </w:r>
      <w:r>
        <w:rPr>
          <w:rFonts w:hint="eastAsia" w:ascii="仿宋" w:hAnsi="仿宋" w:eastAsia="仿宋" w:cs="仿宋_GB2312"/>
          <w:sz w:val="30"/>
          <w:szCs w:val="30"/>
          <w:lang w:val="en-US" w:eastAsia="zh-CN"/>
        </w:rPr>
        <w:t>3.68</w:t>
      </w:r>
      <w:r>
        <w:rPr>
          <w:rFonts w:hint="eastAsia" w:ascii="仿宋_GB2312" w:hAnsi="ˎ̥" w:eastAsia="仿宋_GB2312"/>
          <w:color w:val="000000"/>
          <w:sz w:val="32"/>
          <w:szCs w:val="32"/>
          <w:highlight w:val="none"/>
          <w:lang w:val="en-US" w:eastAsia="zh-CN"/>
        </w:rPr>
        <w:t>%</w:t>
      </w:r>
      <w:r>
        <w:rPr>
          <w:rFonts w:hint="eastAsia" w:ascii="仿宋_GB2312" w:hAnsi="ˎ̥" w:eastAsia="仿宋_GB2312"/>
          <w:color w:val="000000"/>
          <w:sz w:val="32"/>
          <w:szCs w:val="32"/>
          <w:highlight w:val="none"/>
        </w:rPr>
        <w:t>。主要原因：</w:t>
      </w:r>
      <w:r>
        <w:rPr>
          <w:rFonts w:hint="default" w:ascii="仿宋_GB2312" w:hAnsi="ˎ̥" w:eastAsia="仿宋_GB2312" w:cs="仿宋_GB2312"/>
          <w:kern w:val="0"/>
          <w:sz w:val="32"/>
          <w:szCs w:val="32"/>
        </w:rPr>
        <w:t>一是社会保障和就业支出增加；二是</w:t>
      </w:r>
      <w:r>
        <w:rPr>
          <w:rFonts w:hint="eastAsia" w:ascii="仿宋_GB2312" w:hAnsi="ˎ̥" w:eastAsia="仿宋_GB2312" w:cs="仿宋_GB2312"/>
          <w:kern w:val="0"/>
          <w:sz w:val="32"/>
          <w:szCs w:val="32"/>
          <w:lang w:eastAsia="zh-CN"/>
        </w:rPr>
        <w:t>人员薪资逐年</w:t>
      </w:r>
      <w:r>
        <w:rPr>
          <w:rFonts w:hint="default" w:ascii="仿宋_GB2312" w:hAnsi="ˎ̥" w:eastAsia="仿宋_GB2312" w:cs="仿宋_GB2312"/>
          <w:kern w:val="0"/>
          <w:sz w:val="32"/>
          <w:szCs w:val="32"/>
        </w:rPr>
        <w:t>支出增加</w:t>
      </w:r>
      <w:r>
        <w:rPr>
          <w:rFonts w:hint="eastAsia" w:ascii="仿宋_GB2312" w:hAnsi="ˎ̥" w:eastAsia="仿宋_GB2312"/>
          <w:color w:val="000000"/>
          <w:sz w:val="32"/>
          <w:szCs w:val="32"/>
          <w:highlight w:val="none"/>
        </w:rPr>
        <w:t>。</w:t>
      </w:r>
    </w:p>
    <w:p>
      <w:pPr>
        <w:keepNext w:val="0"/>
        <w:keepLines w:val="0"/>
        <w:pageBreakBefore w:val="0"/>
        <w:widowControl/>
        <w:kinsoku/>
        <w:wordWrap/>
        <w:overflowPunct/>
        <w:topLinePunct w:val="0"/>
        <w:autoSpaceDE/>
        <w:autoSpaceDN/>
        <w:bidi w:val="0"/>
        <w:adjustRightInd/>
        <w:snapToGrid/>
        <w:spacing w:beforeAutospacing="1" w:afterAutospacing="1" w:line="560" w:lineRule="exact"/>
        <w:ind w:firstLine="600" w:firstLineChars="200"/>
        <w:jc w:val="left"/>
        <w:textAlignment w:val="auto"/>
        <w:rPr>
          <w:rFonts w:hint="eastAsia" w:ascii="仿宋_GB2312" w:hAnsi="ˎ̥" w:eastAsia="仿宋_GB2312"/>
          <w:sz w:val="32"/>
          <w:szCs w:val="32"/>
          <w:lang w:eastAsia="zh-CN"/>
        </w:rPr>
      </w:pPr>
      <w:r>
        <w:rPr>
          <w:rFonts w:hint="eastAsia" w:ascii="仿宋" w:hAnsi="仿宋" w:eastAsia="仿宋" w:cs="仿宋_GB2312"/>
          <w:sz w:val="30"/>
          <w:szCs w:val="30"/>
        </w:rPr>
        <w:t>财政拨款年初结转结余</w:t>
      </w:r>
      <w:r>
        <w:rPr>
          <w:rFonts w:hint="eastAsia" w:ascii="仿宋" w:hAnsi="仿宋" w:eastAsia="仿宋" w:cs="仿宋_GB2312"/>
          <w:sz w:val="30"/>
          <w:szCs w:val="30"/>
          <w:lang w:val="en-US" w:eastAsia="zh-CN"/>
        </w:rPr>
        <w:t>0</w:t>
      </w:r>
      <w:r>
        <w:rPr>
          <w:rFonts w:hint="eastAsia" w:ascii="仿宋" w:hAnsi="仿宋" w:eastAsia="仿宋" w:cs="仿宋_GB2312"/>
          <w:sz w:val="30"/>
          <w:szCs w:val="30"/>
        </w:rPr>
        <w:t>万元，主要是</w:t>
      </w:r>
      <w:r>
        <w:rPr>
          <w:rFonts w:hint="eastAsia" w:ascii="仿宋_GB2312" w:hAnsi="ˎ̥" w:eastAsia="仿宋_GB2312"/>
          <w:sz w:val="32"/>
          <w:szCs w:val="32"/>
          <w:lang w:val="en-US" w:eastAsia="zh-CN"/>
        </w:rPr>
        <w:t>本年初无</w:t>
      </w:r>
      <w:r>
        <w:rPr>
          <w:rFonts w:hint="eastAsia" w:ascii="仿宋_GB2312" w:hAnsi="ˎ̥" w:eastAsia="仿宋_GB2312"/>
          <w:sz w:val="32"/>
          <w:szCs w:val="32"/>
          <w:lang w:eastAsia="zh-CN"/>
        </w:rPr>
        <w:t>结余，较</w:t>
      </w:r>
      <w:r>
        <w:rPr>
          <w:rFonts w:hint="eastAsia" w:ascii="仿宋_GB2312" w:hAnsi="ˎ̥" w:eastAsia="仿宋_GB2312"/>
          <w:sz w:val="32"/>
          <w:szCs w:val="32"/>
          <w:lang w:val="en-US" w:eastAsia="zh-CN"/>
        </w:rPr>
        <w:t>2021年度决算数减少16.68</w:t>
      </w:r>
      <w:r>
        <w:rPr>
          <w:rFonts w:hint="eastAsia" w:ascii="仿宋_GB2312" w:hAnsi="ˎ̥" w:eastAsia="仿宋_GB2312"/>
          <w:sz w:val="32"/>
          <w:szCs w:val="32"/>
        </w:rPr>
        <w:t>万元</w:t>
      </w:r>
      <w:r>
        <w:rPr>
          <w:rFonts w:hint="eastAsia" w:ascii="仿宋_GB2312" w:hAnsi="ˎ̥" w:eastAsia="仿宋_GB2312"/>
          <w:sz w:val="32"/>
          <w:szCs w:val="32"/>
          <w:lang w:eastAsia="zh-CN"/>
        </w:rPr>
        <w:t>，</w:t>
      </w:r>
      <w:r>
        <w:rPr>
          <w:rFonts w:hint="eastAsia" w:ascii="仿宋_GB2312" w:hAnsi="ˎ̥" w:eastAsia="仿宋_GB2312"/>
          <w:sz w:val="32"/>
          <w:szCs w:val="32"/>
          <w:lang w:val="en-US" w:eastAsia="zh-CN"/>
        </w:rPr>
        <w:t>下降</w:t>
      </w:r>
      <w:r>
        <w:rPr>
          <w:rFonts w:hint="eastAsia" w:ascii="仿宋_GB2312" w:hAnsi="ˎ̥" w:eastAsia="仿宋_GB2312"/>
          <w:color w:val="auto"/>
          <w:sz w:val="32"/>
          <w:szCs w:val="32"/>
          <w:lang w:val="en-US" w:eastAsia="zh-CN"/>
        </w:rPr>
        <w:t>100</w:t>
      </w:r>
      <w:r>
        <w:rPr>
          <w:rFonts w:hint="eastAsia" w:ascii="仿宋_GB2312" w:hAnsi="ˎ̥" w:eastAsia="仿宋_GB2312"/>
          <w:color w:val="auto"/>
          <w:sz w:val="32"/>
          <w:szCs w:val="32"/>
        </w:rPr>
        <w:t>%</w:t>
      </w:r>
      <w:r>
        <w:rPr>
          <w:rFonts w:hint="eastAsia" w:ascii="仿宋_GB2312" w:hAnsi="ˎ̥" w:eastAsia="仿宋_GB2312"/>
          <w:color w:val="auto"/>
          <w:sz w:val="32"/>
          <w:szCs w:val="32"/>
          <w:lang w:eastAsia="zh-CN"/>
        </w:rPr>
        <w:t>，</w:t>
      </w:r>
      <w:r>
        <w:rPr>
          <w:rFonts w:hint="default" w:ascii="仿宋_GB2312" w:hAnsi="ˎ̥" w:eastAsia="仿宋_GB2312" w:cs="仿宋_GB2312"/>
          <w:color w:val="auto"/>
          <w:kern w:val="0"/>
          <w:sz w:val="32"/>
          <w:szCs w:val="32"/>
        </w:rPr>
        <w:t>主要原因是人员薪资及办公经费</w:t>
      </w:r>
      <w:r>
        <w:rPr>
          <w:rFonts w:hint="eastAsia" w:ascii="仿宋_GB2312" w:hAnsi="ˎ̥" w:eastAsia="仿宋_GB2312" w:cs="仿宋_GB2312"/>
          <w:color w:val="auto"/>
          <w:kern w:val="0"/>
          <w:sz w:val="32"/>
          <w:szCs w:val="32"/>
          <w:lang w:val="en-US" w:eastAsia="zh-CN"/>
        </w:rPr>
        <w:t>全部</w:t>
      </w:r>
      <w:r>
        <w:rPr>
          <w:rFonts w:hint="default" w:ascii="仿宋_GB2312" w:hAnsi="ˎ̥" w:eastAsia="仿宋_GB2312" w:cs="仿宋_GB2312"/>
          <w:color w:val="auto"/>
          <w:kern w:val="0"/>
          <w:sz w:val="32"/>
          <w:szCs w:val="32"/>
        </w:rPr>
        <w:t>支出</w:t>
      </w:r>
      <w:r>
        <w:rPr>
          <w:rFonts w:hint="eastAsia" w:ascii="仿宋_GB2312" w:hAnsi="ˎ̥" w:eastAsia="仿宋_GB2312"/>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财政拨款年末结转结余</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万元，主要是</w:t>
      </w:r>
      <w:r>
        <w:rPr>
          <w:rFonts w:hint="eastAsia" w:ascii="仿宋_GB2312" w:hAnsi="ˎ̥" w:eastAsia="仿宋_GB2312"/>
          <w:color w:val="000000"/>
          <w:sz w:val="32"/>
          <w:szCs w:val="32"/>
          <w:highlight w:val="none"/>
          <w:lang w:eastAsia="zh-CN"/>
        </w:rPr>
        <w:t>本年度无</w:t>
      </w:r>
      <w:r>
        <w:rPr>
          <w:rFonts w:hint="eastAsia" w:ascii="仿宋_GB2312" w:hAnsi="ˎ̥" w:eastAsia="仿宋_GB2312"/>
          <w:color w:val="000000"/>
          <w:sz w:val="32"/>
          <w:szCs w:val="32"/>
          <w:highlight w:val="none"/>
        </w:rPr>
        <w:t>财政拨款年末结转结余，较2021年度决算数</w:t>
      </w:r>
      <w:r>
        <w:rPr>
          <w:rFonts w:hint="eastAsia" w:ascii="仿宋_GB2312" w:hAnsi="ˎ̥" w:eastAsia="仿宋_GB2312"/>
          <w:color w:val="000000"/>
          <w:sz w:val="32"/>
          <w:szCs w:val="32"/>
          <w:highlight w:val="none"/>
          <w:lang w:val="en-US" w:eastAsia="zh-CN"/>
        </w:rPr>
        <w:t>增加</w:t>
      </w:r>
      <w:r>
        <w:rPr>
          <w:rFonts w:hint="eastAsia" w:ascii="仿宋_GB2312" w:hAnsi="ˎ̥" w:eastAsia="仿宋_GB2312"/>
          <w:sz w:val="32"/>
          <w:szCs w:val="32"/>
          <w:lang w:val="en-US" w:eastAsia="zh-CN"/>
        </w:rPr>
        <w:t>0</w:t>
      </w:r>
      <w:r>
        <w:rPr>
          <w:rFonts w:hint="eastAsia" w:ascii="仿宋_GB2312" w:hAnsi="ˎ̥" w:eastAsia="仿宋_GB2312"/>
          <w:sz w:val="32"/>
          <w:szCs w:val="32"/>
        </w:rPr>
        <w:t>万元</w:t>
      </w:r>
      <w:r>
        <w:rPr>
          <w:rFonts w:hint="eastAsia" w:ascii="仿宋_GB2312" w:hAnsi="ˎ̥" w:eastAsia="仿宋_GB2312"/>
          <w:sz w:val="32"/>
          <w:szCs w:val="32"/>
          <w:lang w:eastAsia="zh-CN"/>
        </w:rPr>
        <w:t>，</w:t>
      </w:r>
      <w:r>
        <w:rPr>
          <w:rFonts w:hint="eastAsia" w:ascii="仿宋_GB2312" w:hAnsi="ˎ̥" w:eastAsia="仿宋_GB2312"/>
          <w:color w:val="000000"/>
          <w:sz w:val="32"/>
          <w:szCs w:val="32"/>
          <w:highlight w:val="none"/>
          <w:lang w:val="en-US" w:eastAsia="zh-CN"/>
        </w:rPr>
        <w:t>增加100</w:t>
      </w:r>
      <w:r>
        <w:rPr>
          <w:rFonts w:hint="eastAsia" w:ascii="仿宋_GB2312" w:hAnsi="ˎ̥" w:eastAsia="仿宋_GB2312"/>
          <w:color w:val="000000"/>
          <w:sz w:val="32"/>
          <w:szCs w:val="32"/>
          <w:highlight w:val="none"/>
        </w:rPr>
        <w:t>%，主要原因是</w:t>
      </w:r>
      <w:r>
        <w:rPr>
          <w:rFonts w:hint="eastAsia" w:ascii="仿宋_GB2312" w:hAnsi="ˎ̥" w:eastAsia="仿宋_GB2312"/>
          <w:color w:val="000000"/>
          <w:sz w:val="32"/>
          <w:szCs w:val="32"/>
          <w:highlight w:val="none"/>
          <w:lang w:eastAsia="zh-CN"/>
        </w:rPr>
        <w:t>本年度无</w:t>
      </w:r>
      <w:r>
        <w:rPr>
          <w:rFonts w:hint="eastAsia" w:ascii="仿宋_GB2312" w:hAnsi="ˎ̥" w:eastAsia="仿宋_GB2312"/>
          <w:color w:val="000000"/>
          <w:sz w:val="32"/>
          <w:szCs w:val="32"/>
          <w:highlight w:val="none"/>
        </w:rPr>
        <w:t>财政拨款年末结转结余。</w:t>
      </w:r>
    </w:p>
    <w:p>
      <w:pPr>
        <w:keepNext w:val="0"/>
        <w:keepLines w:val="0"/>
        <w:pageBreakBefore w:val="0"/>
        <w:kinsoku/>
        <w:wordWrap/>
        <w:overflowPunct/>
        <w:topLinePunct w:val="0"/>
        <w:autoSpaceDE/>
        <w:autoSpaceDN/>
        <w:bidi w:val="0"/>
        <w:adjustRightInd/>
        <w:snapToGrid/>
        <w:spacing w:line="560" w:lineRule="exact"/>
        <w:ind w:firstLine="627" w:firstLineChars="196"/>
        <w:textAlignment w:val="auto"/>
        <w:rPr>
          <w:rFonts w:hint="eastAsia" w:ascii="黑体" w:hAnsi="黑体" w:eastAsia="黑体" w:cs="黑体"/>
          <w:bCs/>
          <w:color w:val="000000"/>
          <w:sz w:val="32"/>
          <w:szCs w:val="32"/>
          <w:highlight w:val="none"/>
        </w:rPr>
      </w:pPr>
      <w:r>
        <w:rPr>
          <w:rFonts w:hint="eastAsia" w:ascii="黑体" w:hAnsi="黑体" w:eastAsia="黑体" w:cs="黑体"/>
          <w:bCs/>
          <w:color w:val="000000"/>
          <w:sz w:val="32"/>
          <w:szCs w:val="32"/>
          <w:highlight w:val="none"/>
        </w:rPr>
        <w:t>五、一般公共预算财政拨款支出决算情况说明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sz w:val="32"/>
          <w:szCs w:val="32"/>
          <w:highlight w:val="none"/>
        </w:rPr>
      </w:pPr>
      <w:bookmarkStart w:id="65" w:name="_Toc17398_WPSOffice_Level2"/>
      <w:bookmarkStart w:id="66" w:name="_Toc13694_WPSOffice_Level2"/>
      <w:bookmarkStart w:id="67" w:name="_Toc9989_WPSOffice_Level2"/>
      <w:bookmarkStart w:id="68" w:name="_Toc21737_WPSOffice_Level2"/>
      <w:bookmarkStart w:id="69" w:name="_Toc19665_WPSOffice_Level2"/>
      <w:bookmarkStart w:id="70" w:name="_Toc23005_WPSOffice_Level2"/>
      <w:r>
        <w:rPr>
          <w:rFonts w:hint="eastAsia" w:ascii="楷体" w:hAnsi="楷体" w:eastAsia="楷体" w:cs="楷体"/>
          <w:color w:val="000000"/>
          <w:sz w:val="32"/>
          <w:szCs w:val="32"/>
          <w:highlight w:val="none"/>
        </w:rPr>
        <w:t>（一）一般公共预算财政拨款支出决算总体情况</w:t>
      </w:r>
      <w:bookmarkEnd w:id="65"/>
      <w:bookmarkEnd w:id="66"/>
      <w:r>
        <w:rPr>
          <w:rFonts w:hint="eastAsia" w:ascii="楷体" w:hAnsi="楷体" w:eastAsia="楷体" w:cs="楷体"/>
          <w:color w:val="000000"/>
          <w:sz w:val="32"/>
          <w:szCs w:val="32"/>
          <w:highlight w:val="none"/>
        </w:rPr>
        <w:t>。</w:t>
      </w:r>
      <w:bookmarkEnd w:id="67"/>
      <w:bookmarkEnd w:id="68"/>
      <w:bookmarkEnd w:id="69"/>
      <w:bookmarkEnd w:id="70"/>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default" w:ascii="仿宋_GB2312" w:hAnsi="ˎ̥" w:eastAsia="仿宋_GB2312" w:cs="仿宋_GB2312"/>
          <w:kern w:val="0"/>
          <w:sz w:val="32"/>
          <w:szCs w:val="32"/>
        </w:rPr>
        <w:t>202</w:t>
      </w:r>
      <w:r>
        <w:rPr>
          <w:rFonts w:hint="eastAsia" w:ascii="仿宋_GB2312" w:hAnsi="ˎ̥" w:eastAsia="仿宋_GB2312" w:cs="仿宋_GB2312"/>
          <w:kern w:val="0"/>
          <w:sz w:val="32"/>
          <w:szCs w:val="32"/>
          <w:lang w:val="en-US" w:eastAsia="zh-CN"/>
        </w:rPr>
        <w:t>2</w:t>
      </w:r>
      <w:r>
        <w:rPr>
          <w:rFonts w:hint="default" w:ascii="仿宋_GB2312" w:hAnsi="ˎ̥" w:eastAsia="仿宋_GB2312" w:cs="仿宋_GB2312"/>
          <w:kern w:val="0"/>
          <w:sz w:val="32"/>
          <w:szCs w:val="32"/>
        </w:rPr>
        <w:t>年度一般公共预算财政拨款支出</w:t>
      </w:r>
      <w:r>
        <w:rPr>
          <w:rFonts w:hint="eastAsia" w:ascii="仿宋" w:hAnsi="仿宋" w:eastAsia="仿宋"/>
          <w:sz w:val="30"/>
          <w:szCs w:val="30"/>
          <w:lang w:val="en-US" w:eastAsia="zh-CN"/>
        </w:rPr>
        <w:t>570.63</w:t>
      </w:r>
      <w:r>
        <w:rPr>
          <w:rFonts w:hint="default" w:ascii="仿宋_GB2312" w:hAnsi="ˎ̥" w:eastAsia="仿宋_GB2312" w:cs="仿宋_GB2312"/>
          <w:kern w:val="0"/>
          <w:sz w:val="32"/>
          <w:szCs w:val="32"/>
        </w:rPr>
        <w:t>万元，占本年支出合计的</w:t>
      </w:r>
      <w:r>
        <w:rPr>
          <w:rFonts w:hint="eastAsia" w:ascii="仿宋_GB2312" w:hAnsi="ˎ̥" w:eastAsia="仿宋_GB2312" w:cs="仿宋_GB2312"/>
          <w:kern w:val="0"/>
          <w:sz w:val="32"/>
          <w:szCs w:val="32"/>
          <w:lang w:val="en-US" w:eastAsia="zh-CN"/>
        </w:rPr>
        <w:t>100</w:t>
      </w:r>
      <w:r>
        <w:rPr>
          <w:rFonts w:hint="default" w:ascii="仿宋_GB2312" w:hAnsi="ˎ̥" w:eastAsia="仿宋_GB2312" w:cs="仿宋_GB2312"/>
          <w:kern w:val="0"/>
          <w:sz w:val="32"/>
          <w:szCs w:val="32"/>
        </w:rPr>
        <w:t>%</w:t>
      </w:r>
      <w:r>
        <w:rPr>
          <w:rFonts w:hint="eastAsia" w:ascii="仿宋_GB2312" w:hAnsi="ˎ̥" w:eastAsia="仿宋_GB2312" w:cs="仿宋_GB2312"/>
          <w:kern w:val="0"/>
          <w:sz w:val="32"/>
          <w:szCs w:val="32"/>
          <w:lang w:eastAsia="zh-CN"/>
        </w:rPr>
        <w:t>。</w:t>
      </w:r>
      <w:r>
        <w:rPr>
          <w:rFonts w:hint="default" w:ascii="仿宋_GB2312" w:hAnsi="ˎ̥" w:eastAsia="仿宋_GB2312" w:cs="仿宋_GB2312"/>
          <w:kern w:val="0"/>
          <w:sz w:val="32"/>
          <w:szCs w:val="32"/>
        </w:rPr>
        <w:t>与202</w:t>
      </w:r>
      <w:r>
        <w:rPr>
          <w:rFonts w:hint="eastAsia" w:ascii="仿宋_GB2312" w:hAnsi="ˎ̥" w:eastAsia="仿宋_GB2312" w:cs="仿宋_GB2312"/>
          <w:kern w:val="0"/>
          <w:sz w:val="32"/>
          <w:szCs w:val="32"/>
          <w:lang w:val="en-US" w:eastAsia="zh-CN"/>
        </w:rPr>
        <w:t>1</w:t>
      </w:r>
      <w:r>
        <w:rPr>
          <w:rFonts w:hint="default" w:ascii="仿宋_GB2312" w:hAnsi="ˎ̥" w:eastAsia="仿宋_GB2312" w:cs="仿宋_GB2312"/>
          <w:kern w:val="0"/>
          <w:sz w:val="32"/>
          <w:szCs w:val="32"/>
        </w:rPr>
        <w:t>年度相比，一般公共预算财政拨款支出增加</w:t>
      </w:r>
      <w:r>
        <w:rPr>
          <w:rFonts w:hint="eastAsia" w:ascii="仿宋" w:hAnsi="仿宋" w:eastAsia="仿宋" w:cs="仿宋_GB2312"/>
          <w:sz w:val="30"/>
          <w:szCs w:val="30"/>
          <w:lang w:val="en-US" w:eastAsia="zh-CN"/>
        </w:rPr>
        <w:t>20.23</w:t>
      </w:r>
      <w:r>
        <w:rPr>
          <w:rFonts w:hint="default" w:ascii="仿宋_GB2312" w:hAnsi="ˎ̥" w:eastAsia="仿宋_GB2312" w:cs="仿宋_GB2312"/>
          <w:kern w:val="0"/>
          <w:sz w:val="32"/>
          <w:szCs w:val="32"/>
        </w:rPr>
        <w:t>万元，增长</w:t>
      </w:r>
      <w:r>
        <w:rPr>
          <w:rFonts w:hint="eastAsia" w:ascii="仿宋" w:hAnsi="仿宋" w:eastAsia="仿宋" w:cs="仿宋_GB2312"/>
          <w:sz w:val="30"/>
          <w:szCs w:val="30"/>
          <w:lang w:val="en-US" w:eastAsia="zh-CN"/>
        </w:rPr>
        <w:t>3.68</w:t>
      </w:r>
      <w:r>
        <w:rPr>
          <w:rFonts w:hint="default" w:ascii="仿宋_GB2312" w:hAnsi="ˎ̥" w:eastAsia="仿宋_GB2312" w:cs="仿宋_GB2312"/>
          <w:kern w:val="0"/>
          <w:sz w:val="32"/>
          <w:szCs w:val="32"/>
        </w:rPr>
        <w:t>%，</w:t>
      </w:r>
      <w:r>
        <w:rPr>
          <w:rFonts w:hint="eastAsia" w:ascii="仿宋_GB2312" w:hAnsi="ˎ̥" w:eastAsia="仿宋_GB2312"/>
          <w:color w:val="000000"/>
          <w:sz w:val="32"/>
          <w:szCs w:val="32"/>
          <w:highlight w:val="none"/>
        </w:rPr>
        <w:t>主要原因是</w:t>
      </w:r>
      <w:r>
        <w:rPr>
          <w:rFonts w:hint="eastAsia" w:ascii="仿宋_GB2312" w:hAnsi="ˎ̥" w:eastAsia="仿宋_GB2312"/>
          <w:color w:val="000000"/>
          <w:sz w:val="32"/>
          <w:szCs w:val="32"/>
          <w:highlight w:val="none"/>
          <w:lang w:eastAsia="zh-CN"/>
        </w:rPr>
        <w:t>本年度人员类薪资及各种福利增加</w:t>
      </w:r>
      <w:r>
        <w:rPr>
          <w:rFonts w:hint="eastAsia" w:ascii="仿宋_GB2312" w:hAnsi="ˎ̥" w:eastAsia="仿宋_GB2312"/>
          <w:color w:val="000000"/>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sz w:val="32"/>
          <w:szCs w:val="32"/>
          <w:highlight w:val="none"/>
        </w:rPr>
      </w:pPr>
      <w:bookmarkStart w:id="71" w:name="_Toc18793_WPSOffice_Level2"/>
      <w:bookmarkStart w:id="72" w:name="_Toc2711_WPSOffice_Level2"/>
      <w:bookmarkStart w:id="73" w:name="_Toc23864_WPSOffice_Level2"/>
      <w:bookmarkStart w:id="74" w:name="_Toc19075_WPSOffice_Level2"/>
      <w:bookmarkStart w:id="75" w:name="_Toc27767_WPSOffice_Level2"/>
      <w:bookmarkStart w:id="76" w:name="_Toc19535_WPSOffice_Level2"/>
      <w:r>
        <w:rPr>
          <w:rFonts w:hint="eastAsia" w:ascii="楷体" w:hAnsi="楷体" w:eastAsia="楷体" w:cs="楷体"/>
          <w:color w:val="000000"/>
          <w:sz w:val="32"/>
          <w:szCs w:val="32"/>
          <w:highlight w:val="none"/>
        </w:rPr>
        <w:t>（二）一般公共预算财政拨款支出决算结构情况</w:t>
      </w:r>
      <w:bookmarkEnd w:id="71"/>
      <w:bookmarkEnd w:id="72"/>
      <w:r>
        <w:rPr>
          <w:rFonts w:hint="eastAsia" w:ascii="楷体" w:hAnsi="楷体" w:eastAsia="楷体" w:cs="楷体"/>
          <w:color w:val="000000"/>
          <w:sz w:val="32"/>
          <w:szCs w:val="32"/>
          <w:highlight w:val="none"/>
        </w:rPr>
        <w:t>。</w:t>
      </w:r>
      <w:bookmarkEnd w:id="73"/>
      <w:bookmarkEnd w:id="74"/>
      <w:bookmarkEnd w:id="75"/>
      <w:bookmarkEnd w:id="76"/>
    </w:p>
    <w:p>
      <w:pPr>
        <w:keepNext w:val="0"/>
        <w:keepLines w:val="0"/>
        <w:pageBreakBefore w:val="0"/>
        <w:widowControl/>
        <w:kinsoku/>
        <w:wordWrap/>
        <w:overflowPunct/>
        <w:topLinePunct w:val="0"/>
        <w:autoSpaceDE/>
        <w:autoSpaceDN/>
        <w:bidi w:val="0"/>
        <w:adjustRightInd/>
        <w:snapToGrid/>
        <w:spacing w:beforeAutospacing="1" w:afterAutospacing="1" w:line="560" w:lineRule="exact"/>
        <w:ind w:firstLine="600" w:firstLineChars="200"/>
        <w:jc w:val="left"/>
        <w:textAlignment w:val="auto"/>
        <w:rPr>
          <w:rFonts w:hint="eastAsia" w:ascii="仿宋" w:hAnsi="仿宋" w:eastAsia="仿宋" w:cs="仿宋_GB2312"/>
          <w:b w:val="0"/>
          <w:bCs w:val="0"/>
          <w:color w:val="auto"/>
          <w:sz w:val="30"/>
          <w:szCs w:val="30"/>
        </w:rPr>
      </w:pPr>
      <w:r>
        <w:rPr>
          <w:rFonts w:hint="eastAsia" w:ascii="仿宋" w:hAnsi="仿宋" w:eastAsia="仿宋" w:cs="仿宋_GB2312"/>
          <w:b w:val="0"/>
          <w:bCs w:val="0"/>
          <w:color w:val="auto"/>
          <w:sz w:val="30"/>
          <w:szCs w:val="30"/>
        </w:rPr>
        <w:t>202</w:t>
      </w:r>
      <w:r>
        <w:rPr>
          <w:rFonts w:hint="eastAsia" w:ascii="仿宋" w:hAnsi="仿宋" w:eastAsia="仿宋" w:cs="仿宋_GB2312"/>
          <w:b w:val="0"/>
          <w:bCs w:val="0"/>
          <w:color w:val="auto"/>
          <w:sz w:val="30"/>
          <w:szCs w:val="30"/>
          <w:lang w:val="en-US" w:eastAsia="zh-CN"/>
        </w:rPr>
        <w:t>2</w:t>
      </w:r>
      <w:r>
        <w:rPr>
          <w:rFonts w:hint="eastAsia" w:ascii="仿宋" w:hAnsi="仿宋" w:eastAsia="仿宋" w:cs="仿宋_GB2312"/>
          <w:b w:val="0"/>
          <w:bCs w:val="0"/>
          <w:color w:val="auto"/>
          <w:sz w:val="30"/>
          <w:szCs w:val="30"/>
        </w:rPr>
        <w:t>年度一般公共预算财政拨款支出</w:t>
      </w:r>
      <w:r>
        <w:rPr>
          <w:rFonts w:hint="eastAsia" w:ascii="仿宋" w:hAnsi="仿宋" w:eastAsia="仿宋"/>
          <w:b w:val="0"/>
          <w:bCs w:val="0"/>
          <w:color w:val="auto"/>
          <w:sz w:val="30"/>
          <w:szCs w:val="30"/>
          <w:lang w:val="en-US" w:eastAsia="zh-CN"/>
        </w:rPr>
        <w:t>570.63</w:t>
      </w:r>
      <w:r>
        <w:rPr>
          <w:rFonts w:hint="eastAsia" w:ascii="仿宋" w:hAnsi="仿宋" w:eastAsia="仿宋" w:cs="仿宋_GB2312"/>
          <w:b w:val="0"/>
          <w:bCs w:val="0"/>
          <w:color w:val="auto"/>
          <w:sz w:val="30"/>
          <w:szCs w:val="30"/>
        </w:rPr>
        <w:t>万元，主要用于以下方面：教育（类）支出44</w:t>
      </w:r>
      <w:r>
        <w:rPr>
          <w:rFonts w:hint="eastAsia" w:ascii="仿宋" w:hAnsi="仿宋" w:eastAsia="仿宋" w:cs="仿宋_GB2312"/>
          <w:b w:val="0"/>
          <w:bCs w:val="0"/>
          <w:color w:val="auto"/>
          <w:sz w:val="30"/>
          <w:szCs w:val="30"/>
          <w:lang w:val="en-US" w:eastAsia="zh-CN"/>
        </w:rPr>
        <w:t>6.55</w:t>
      </w:r>
      <w:r>
        <w:rPr>
          <w:rFonts w:hint="eastAsia" w:ascii="仿宋" w:hAnsi="仿宋" w:eastAsia="仿宋" w:cs="仿宋_GB2312"/>
          <w:b w:val="0"/>
          <w:bCs w:val="0"/>
          <w:color w:val="auto"/>
          <w:sz w:val="30"/>
          <w:szCs w:val="30"/>
        </w:rPr>
        <w:t>万元，占</w:t>
      </w:r>
      <w:r>
        <w:rPr>
          <w:rFonts w:hint="eastAsia" w:ascii="仿宋" w:hAnsi="仿宋" w:eastAsia="仿宋" w:cs="仿宋_GB2312"/>
          <w:b w:val="0"/>
          <w:bCs w:val="0"/>
          <w:color w:val="auto"/>
          <w:sz w:val="30"/>
          <w:szCs w:val="30"/>
          <w:lang w:val="en-US" w:eastAsia="zh-CN"/>
        </w:rPr>
        <w:t>78.26</w:t>
      </w:r>
      <w:r>
        <w:rPr>
          <w:rFonts w:hint="eastAsia" w:ascii="仿宋" w:hAnsi="仿宋" w:eastAsia="仿宋" w:cs="仿宋_GB2312"/>
          <w:b w:val="0"/>
          <w:bCs w:val="0"/>
          <w:color w:val="auto"/>
          <w:sz w:val="30"/>
          <w:szCs w:val="30"/>
        </w:rPr>
        <w:t>%；社会保障和就业（类）支出3</w:t>
      </w:r>
      <w:r>
        <w:rPr>
          <w:rFonts w:hint="eastAsia" w:ascii="仿宋" w:hAnsi="仿宋" w:eastAsia="仿宋" w:cs="仿宋_GB2312"/>
          <w:b w:val="0"/>
          <w:bCs w:val="0"/>
          <w:color w:val="auto"/>
          <w:sz w:val="30"/>
          <w:szCs w:val="30"/>
          <w:lang w:val="en-US" w:eastAsia="zh-CN"/>
        </w:rPr>
        <w:t>7.51</w:t>
      </w:r>
      <w:r>
        <w:rPr>
          <w:rFonts w:hint="eastAsia" w:ascii="仿宋" w:hAnsi="仿宋" w:eastAsia="仿宋" w:cs="仿宋_GB2312"/>
          <w:b w:val="0"/>
          <w:bCs w:val="0"/>
          <w:color w:val="auto"/>
          <w:sz w:val="30"/>
          <w:szCs w:val="30"/>
        </w:rPr>
        <w:t>万元，占6.</w:t>
      </w:r>
      <w:r>
        <w:rPr>
          <w:rFonts w:hint="eastAsia" w:ascii="仿宋" w:hAnsi="仿宋" w:eastAsia="仿宋" w:cs="仿宋_GB2312"/>
          <w:b w:val="0"/>
          <w:bCs w:val="0"/>
          <w:color w:val="auto"/>
          <w:sz w:val="30"/>
          <w:szCs w:val="30"/>
          <w:lang w:val="en-US" w:eastAsia="zh-CN"/>
        </w:rPr>
        <w:t>57</w:t>
      </w:r>
      <w:r>
        <w:rPr>
          <w:rFonts w:hint="eastAsia" w:ascii="仿宋" w:hAnsi="仿宋" w:eastAsia="仿宋" w:cs="仿宋_GB2312"/>
          <w:b w:val="0"/>
          <w:bCs w:val="0"/>
          <w:color w:val="auto"/>
          <w:sz w:val="30"/>
          <w:szCs w:val="30"/>
        </w:rPr>
        <w:t>%；卫生健康支出5</w:t>
      </w:r>
      <w:r>
        <w:rPr>
          <w:rFonts w:hint="eastAsia" w:ascii="仿宋" w:hAnsi="仿宋" w:eastAsia="仿宋" w:cs="仿宋_GB2312"/>
          <w:b w:val="0"/>
          <w:bCs w:val="0"/>
          <w:color w:val="auto"/>
          <w:sz w:val="30"/>
          <w:szCs w:val="30"/>
          <w:lang w:val="en-US" w:eastAsia="zh-CN"/>
        </w:rPr>
        <w:t>3.24</w:t>
      </w:r>
      <w:r>
        <w:rPr>
          <w:rFonts w:hint="eastAsia" w:ascii="仿宋" w:hAnsi="仿宋" w:eastAsia="仿宋" w:cs="仿宋_GB2312"/>
          <w:b w:val="0"/>
          <w:bCs w:val="0"/>
          <w:color w:val="auto"/>
          <w:sz w:val="30"/>
          <w:szCs w:val="30"/>
        </w:rPr>
        <w:t>万元，占9.</w:t>
      </w:r>
      <w:r>
        <w:rPr>
          <w:rFonts w:hint="eastAsia" w:ascii="仿宋" w:hAnsi="仿宋" w:eastAsia="仿宋" w:cs="仿宋_GB2312"/>
          <w:b w:val="0"/>
          <w:bCs w:val="0"/>
          <w:color w:val="auto"/>
          <w:sz w:val="30"/>
          <w:szCs w:val="30"/>
          <w:lang w:val="en-US" w:eastAsia="zh-CN"/>
        </w:rPr>
        <w:t>33</w:t>
      </w:r>
      <w:r>
        <w:rPr>
          <w:rFonts w:hint="eastAsia" w:ascii="仿宋" w:hAnsi="仿宋" w:eastAsia="仿宋" w:cs="仿宋_GB2312"/>
          <w:b w:val="0"/>
          <w:bCs w:val="0"/>
          <w:color w:val="auto"/>
          <w:sz w:val="30"/>
          <w:szCs w:val="30"/>
        </w:rPr>
        <w:t>%；住房保障（类）支出</w:t>
      </w:r>
      <w:r>
        <w:rPr>
          <w:rFonts w:hint="eastAsia" w:ascii="仿宋" w:hAnsi="仿宋" w:eastAsia="仿宋" w:cs="仿宋_GB2312"/>
          <w:b w:val="0"/>
          <w:bCs w:val="0"/>
          <w:color w:val="auto"/>
          <w:sz w:val="30"/>
          <w:szCs w:val="30"/>
          <w:lang w:val="en-US" w:eastAsia="zh-CN"/>
        </w:rPr>
        <w:t>33.32</w:t>
      </w:r>
      <w:r>
        <w:rPr>
          <w:rFonts w:hint="eastAsia" w:ascii="仿宋" w:hAnsi="仿宋" w:eastAsia="仿宋" w:cs="仿宋_GB2312"/>
          <w:b w:val="0"/>
          <w:bCs w:val="0"/>
          <w:color w:val="auto"/>
          <w:sz w:val="30"/>
          <w:szCs w:val="30"/>
        </w:rPr>
        <w:t>万元，占</w:t>
      </w:r>
      <w:r>
        <w:rPr>
          <w:rFonts w:hint="eastAsia" w:ascii="仿宋" w:hAnsi="仿宋" w:eastAsia="仿宋" w:cs="仿宋_GB2312"/>
          <w:b w:val="0"/>
          <w:bCs w:val="0"/>
          <w:color w:val="auto"/>
          <w:sz w:val="30"/>
          <w:szCs w:val="30"/>
          <w:lang w:val="en-US" w:eastAsia="zh-CN"/>
        </w:rPr>
        <w:t>5.84</w:t>
      </w:r>
      <w:r>
        <w:rPr>
          <w:rFonts w:hint="eastAsia" w:ascii="仿宋" w:hAnsi="仿宋" w:eastAsia="仿宋" w:cs="仿宋_GB2312"/>
          <w:b w:val="0"/>
          <w:bCs w:val="0"/>
          <w:color w:val="auto"/>
          <w:sz w:val="30"/>
          <w:szCs w:val="30"/>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sz w:val="32"/>
          <w:szCs w:val="32"/>
          <w:highlight w:val="none"/>
        </w:rPr>
      </w:pPr>
      <w:bookmarkStart w:id="77" w:name="_Toc29364_WPSOffice_Level2"/>
      <w:bookmarkStart w:id="78" w:name="_Toc15415_WPSOffice_Level2"/>
      <w:bookmarkStart w:id="79" w:name="_Toc22318_WPSOffice_Level2"/>
      <w:bookmarkStart w:id="80" w:name="_Toc9502_WPSOffice_Level2"/>
      <w:bookmarkStart w:id="81" w:name="_Toc21701_WPSOffice_Level2"/>
      <w:bookmarkStart w:id="82" w:name="_Toc25136_WPSOffice_Level2"/>
      <w:r>
        <w:rPr>
          <w:rFonts w:hint="eastAsia" w:ascii="楷体" w:hAnsi="楷体" w:eastAsia="楷体" w:cs="楷体"/>
          <w:color w:val="000000"/>
          <w:sz w:val="32"/>
          <w:szCs w:val="32"/>
          <w:highlight w:val="none"/>
        </w:rPr>
        <w:t>（三）一般公共预算财政拨款支出决算具体情况。</w:t>
      </w:r>
      <w:bookmarkEnd w:id="77"/>
      <w:bookmarkEnd w:id="78"/>
      <w:bookmarkEnd w:id="79"/>
      <w:bookmarkEnd w:id="80"/>
      <w:bookmarkEnd w:id="81"/>
      <w:bookmarkEnd w:id="82"/>
    </w:p>
    <w:p>
      <w:pPr>
        <w:keepNext w:val="0"/>
        <w:keepLines w:val="0"/>
        <w:pageBreakBefore w:val="0"/>
        <w:kinsoku/>
        <w:wordWrap/>
        <w:overflowPunct/>
        <w:topLinePunct w:val="0"/>
        <w:autoSpaceDE/>
        <w:autoSpaceDN/>
        <w:bidi w:val="0"/>
        <w:adjustRightInd/>
        <w:snapToGrid/>
        <w:spacing w:line="560" w:lineRule="exact"/>
        <w:ind w:firstLine="660" w:firstLineChars="200"/>
        <w:textAlignment w:val="auto"/>
        <w:rPr>
          <w:rFonts w:hint="eastAsia" w:ascii="仿宋" w:hAnsi="仿宋" w:eastAsia="仿宋" w:cs="仿宋_GB2312"/>
          <w:w w:val="110"/>
          <w:sz w:val="30"/>
          <w:szCs w:val="30"/>
        </w:rPr>
      </w:pPr>
      <w:r>
        <w:rPr>
          <w:rFonts w:hint="eastAsia" w:ascii="仿宋" w:hAnsi="仿宋" w:eastAsia="仿宋" w:cs="仿宋_GB2312"/>
          <w:w w:val="110"/>
          <w:sz w:val="30"/>
          <w:szCs w:val="30"/>
        </w:rPr>
        <w:t>202</w:t>
      </w:r>
      <w:r>
        <w:rPr>
          <w:rFonts w:hint="eastAsia" w:ascii="仿宋" w:hAnsi="仿宋" w:eastAsia="仿宋" w:cs="仿宋_GB2312"/>
          <w:w w:val="110"/>
          <w:sz w:val="30"/>
          <w:szCs w:val="30"/>
          <w:lang w:val="en-US" w:eastAsia="zh-CN"/>
        </w:rPr>
        <w:t>2</w:t>
      </w:r>
      <w:r>
        <w:rPr>
          <w:rFonts w:hint="eastAsia" w:ascii="仿宋" w:hAnsi="仿宋" w:eastAsia="仿宋" w:cs="仿宋_GB2312"/>
          <w:w w:val="110"/>
          <w:sz w:val="30"/>
          <w:szCs w:val="30"/>
        </w:rPr>
        <w:t>年度一般公共预算财政拨款支出年初预算为</w:t>
      </w:r>
      <w:r>
        <w:rPr>
          <w:rFonts w:hint="eastAsia" w:ascii="仿宋" w:hAnsi="仿宋" w:eastAsia="仿宋" w:cs="仿宋_GB2312"/>
          <w:w w:val="110"/>
          <w:sz w:val="30"/>
          <w:szCs w:val="30"/>
          <w:lang w:val="en-US" w:eastAsia="zh-CN"/>
        </w:rPr>
        <w:t>570.63</w:t>
      </w:r>
      <w:r>
        <w:rPr>
          <w:rFonts w:hint="eastAsia" w:ascii="仿宋" w:hAnsi="仿宋" w:eastAsia="仿宋" w:cs="仿宋_GB2312"/>
          <w:w w:val="110"/>
          <w:sz w:val="30"/>
          <w:szCs w:val="30"/>
        </w:rPr>
        <w:t>万元，支出决算为</w:t>
      </w:r>
      <w:r>
        <w:rPr>
          <w:rFonts w:hint="eastAsia" w:ascii="仿宋" w:hAnsi="仿宋" w:eastAsia="仿宋"/>
          <w:w w:val="110"/>
          <w:sz w:val="30"/>
          <w:szCs w:val="30"/>
          <w:lang w:val="en-US" w:eastAsia="zh-CN"/>
        </w:rPr>
        <w:t>570.63</w:t>
      </w:r>
      <w:r>
        <w:rPr>
          <w:rFonts w:hint="eastAsia" w:ascii="仿宋" w:hAnsi="仿宋" w:eastAsia="仿宋" w:cs="仿宋_GB2312"/>
          <w:w w:val="110"/>
          <w:sz w:val="30"/>
          <w:szCs w:val="30"/>
        </w:rPr>
        <w:t>万元，完成年初预算的</w:t>
      </w:r>
      <w:r>
        <w:rPr>
          <w:rFonts w:hint="eastAsia" w:ascii="仿宋" w:hAnsi="仿宋" w:eastAsia="仿宋" w:cs="仿宋_GB2312"/>
          <w:w w:val="110"/>
          <w:sz w:val="30"/>
          <w:szCs w:val="30"/>
          <w:lang w:val="en-US" w:eastAsia="zh-CN"/>
        </w:rPr>
        <w:t>100</w:t>
      </w:r>
      <w:r>
        <w:rPr>
          <w:rFonts w:hint="eastAsia" w:ascii="仿宋" w:hAnsi="仿宋" w:eastAsia="仿宋" w:cs="仿宋_GB2312"/>
          <w:w w:val="110"/>
          <w:sz w:val="30"/>
          <w:szCs w:val="30"/>
        </w:rPr>
        <w:t>%。其中：</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b/>
          <w:color w:val="000000"/>
          <w:sz w:val="32"/>
          <w:szCs w:val="32"/>
          <w:highlight w:val="none"/>
        </w:rPr>
      </w:pPr>
      <w:r>
        <w:rPr>
          <w:rFonts w:hint="eastAsia" w:ascii="仿宋_GB2312" w:hAnsi="ˎ̥" w:eastAsia="仿宋_GB2312"/>
          <w:color w:val="000000"/>
          <w:sz w:val="32"/>
          <w:szCs w:val="32"/>
          <w:highlight w:val="none"/>
        </w:rPr>
        <w:t>1.</w:t>
      </w:r>
      <w:r>
        <w:rPr>
          <w:rFonts w:hint="eastAsia" w:ascii="仿宋_GB2312" w:hAnsi="ˎ̥" w:eastAsia="仿宋_GB2312"/>
          <w:b/>
          <w:color w:val="000000"/>
          <w:sz w:val="32"/>
          <w:szCs w:val="32"/>
          <w:highlight w:val="none"/>
          <w:lang w:eastAsia="zh-CN"/>
        </w:rPr>
        <w:t>教育</w:t>
      </w:r>
      <w:r>
        <w:rPr>
          <w:rFonts w:hint="eastAsia" w:ascii="仿宋_GB2312" w:hAnsi="ˎ̥" w:eastAsia="仿宋_GB2312"/>
          <w:b/>
          <w:color w:val="000000"/>
          <w:sz w:val="32"/>
          <w:szCs w:val="32"/>
          <w:highlight w:val="none"/>
        </w:rPr>
        <w:t>（类）普通教育（款）小学教育（项）。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年初预算为</w:t>
      </w:r>
      <w:r>
        <w:rPr>
          <w:rFonts w:hint="eastAsia" w:ascii="仿宋" w:hAnsi="仿宋" w:eastAsia="仿宋" w:cs="仿宋"/>
          <w:kern w:val="0"/>
          <w:sz w:val="30"/>
          <w:szCs w:val="30"/>
          <w:lang w:val="en-US" w:eastAsia="zh-CN"/>
        </w:rPr>
        <w:t>446.55</w:t>
      </w:r>
      <w:r>
        <w:rPr>
          <w:rFonts w:hint="eastAsia" w:ascii="仿宋_GB2312" w:hAnsi="ˎ̥" w:eastAsia="仿宋_GB2312"/>
          <w:color w:val="000000"/>
          <w:sz w:val="32"/>
          <w:szCs w:val="32"/>
          <w:highlight w:val="none"/>
        </w:rPr>
        <w:t>万元，支出决算为</w:t>
      </w:r>
      <w:r>
        <w:rPr>
          <w:rFonts w:hint="eastAsia" w:ascii="仿宋" w:hAnsi="仿宋" w:eastAsia="仿宋" w:cs="仿宋"/>
          <w:kern w:val="0"/>
          <w:sz w:val="30"/>
          <w:szCs w:val="30"/>
          <w:lang w:val="en-US" w:eastAsia="zh-CN"/>
        </w:rPr>
        <w:t>446.55</w:t>
      </w:r>
      <w:r>
        <w:rPr>
          <w:rFonts w:hint="eastAsia" w:ascii="仿宋_GB2312" w:hAnsi="ˎ̥" w:eastAsia="仿宋_GB2312"/>
          <w:color w:val="000000"/>
          <w:sz w:val="32"/>
          <w:szCs w:val="32"/>
          <w:highlight w:val="none"/>
        </w:rPr>
        <w:t>万元，完成年初预算的</w:t>
      </w:r>
      <w:r>
        <w:rPr>
          <w:rFonts w:hint="eastAsia" w:ascii="仿宋_GB2312" w:hAnsi="ˎ̥" w:eastAsia="仿宋_GB2312"/>
          <w:color w:val="000000"/>
          <w:sz w:val="32"/>
          <w:szCs w:val="32"/>
          <w:highlight w:val="none"/>
          <w:lang w:val="en-US" w:eastAsia="zh-CN"/>
        </w:rPr>
        <w:t>100</w:t>
      </w:r>
      <w:r>
        <w:rPr>
          <w:rFonts w:hint="eastAsia" w:ascii="仿宋_GB2312" w:hAnsi="ˎ̥" w:eastAsia="仿宋_GB2312"/>
          <w:color w:val="000000"/>
          <w:sz w:val="32"/>
          <w:szCs w:val="32"/>
          <w:highlight w:val="none"/>
        </w:rPr>
        <w:t>%。</w:t>
      </w:r>
      <w:r>
        <w:rPr>
          <w:rFonts w:hint="eastAsia" w:ascii="仿宋" w:hAnsi="仿宋" w:eastAsia="仿宋" w:cs="仿宋"/>
          <w:kern w:val="0"/>
          <w:sz w:val="30"/>
          <w:szCs w:val="30"/>
          <w:shd w:val="clear" w:color="auto" w:fill="FFFFFF"/>
        </w:rPr>
        <w:t>完成全部支出。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b/>
          <w:color w:val="000000"/>
          <w:sz w:val="32"/>
          <w:szCs w:val="32"/>
          <w:highlight w:val="none"/>
        </w:rPr>
      </w:pPr>
      <w:r>
        <w:rPr>
          <w:rFonts w:hint="eastAsia" w:ascii="仿宋_GB2312" w:hAnsi="ˎ̥" w:eastAsia="仿宋_GB2312"/>
          <w:color w:val="000000"/>
          <w:sz w:val="32"/>
          <w:szCs w:val="32"/>
          <w:highlight w:val="none"/>
        </w:rPr>
        <w:t>2.</w:t>
      </w:r>
      <w:r>
        <w:rPr>
          <w:rFonts w:hint="eastAsia" w:ascii="仿宋_GB2312" w:hAnsi="ˎ̥" w:eastAsia="仿宋_GB2312"/>
          <w:b/>
          <w:color w:val="000000"/>
          <w:sz w:val="32"/>
          <w:szCs w:val="32"/>
          <w:highlight w:val="none"/>
          <w:lang w:eastAsia="zh-CN"/>
        </w:rPr>
        <w:t>教育</w:t>
      </w:r>
      <w:r>
        <w:rPr>
          <w:rFonts w:hint="eastAsia" w:ascii="仿宋_GB2312" w:hAnsi="ˎ̥" w:eastAsia="仿宋_GB2312"/>
          <w:b/>
          <w:color w:val="000000"/>
          <w:sz w:val="32"/>
          <w:szCs w:val="32"/>
          <w:highlight w:val="none"/>
        </w:rPr>
        <w:t>（类）其他教育（款）其他教育（项）。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年初预算为</w:t>
      </w:r>
      <w:r>
        <w:rPr>
          <w:rFonts w:hint="eastAsia" w:ascii="仿宋_GB2312" w:hAnsi="ˎ̥" w:eastAsia="仿宋_GB2312"/>
          <w:color w:val="000000"/>
          <w:sz w:val="32"/>
          <w:szCs w:val="32"/>
          <w:highlight w:val="none"/>
          <w:lang w:val="en-US" w:eastAsia="zh-CN"/>
        </w:rPr>
        <w:t>16.21</w:t>
      </w:r>
      <w:r>
        <w:rPr>
          <w:rFonts w:hint="eastAsia" w:ascii="仿宋_GB2312" w:hAnsi="ˎ̥" w:eastAsia="仿宋_GB2312"/>
          <w:color w:val="000000"/>
          <w:sz w:val="32"/>
          <w:szCs w:val="32"/>
          <w:highlight w:val="none"/>
        </w:rPr>
        <w:t>万元，支出决算为</w:t>
      </w:r>
      <w:r>
        <w:rPr>
          <w:rFonts w:hint="eastAsia" w:ascii="仿宋_GB2312" w:hAnsi="ˎ̥" w:eastAsia="仿宋_GB2312"/>
          <w:color w:val="000000"/>
          <w:sz w:val="32"/>
          <w:szCs w:val="32"/>
          <w:highlight w:val="none"/>
          <w:lang w:val="en-US" w:eastAsia="zh-CN"/>
        </w:rPr>
        <w:t>16.21</w:t>
      </w:r>
      <w:r>
        <w:rPr>
          <w:rFonts w:hint="eastAsia" w:ascii="仿宋_GB2312" w:hAnsi="ˎ̥" w:eastAsia="仿宋_GB2312"/>
          <w:color w:val="000000"/>
          <w:sz w:val="32"/>
          <w:szCs w:val="32"/>
          <w:highlight w:val="none"/>
        </w:rPr>
        <w:t>万元，完成年初预算的</w:t>
      </w:r>
      <w:r>
        <w:rPr>
          <w:rFonts w:hint="eastAsia" w:ascii="仿宋_GB2312" w:hAnsi="ˎ̥" w:eastAsia="仿宋_GB2312"/>
          <w:color w:val="000000"/>
          <w:sz w:val="32"/>
          <w:szCs w:val="32"/>
          <w:highlight w:val="none"/>
          <w:lang w:val="en-US" w:eastAsia="zh-CN"/>
        </w:rPr>
        <w:t>100</w:t>
      </w:r>
      <w:r>
        <w:rPr>
          <w:rFonts w:hint="eastAsia" w:ascii="仿宋_GB2312" w:hAnsi="ˎ̥" w:eastAsia="仿宋_GB2312"/>
          <w:color w:val="000000"/>
          <w:sz w:val="32"/>
          <w:szCs w:val="32"/>
          <w:highlight w:val="none"/>
        </w:rPr>
        <w:t>%。</w:t>
      </w:r>
      <w:r>
        <w:rPr>
          <w:rFonts w:hint="eastAsia" w:ascii="仿宋" w:hAnsi="仿宋" w:eastAsia="仿宋" w:cs="仿宋"/>
          <w:kern w:val="0"/>
          <w:sz w:val="30"/>
          <w:szCs w:val="30"/>
          <w:shd w:val="clear" w:color="auto" w:fill="FFFFFF"/>
        </w:rPr>
        <w:t>完成全部支出。</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ˎ̥" w:eastAsia="仿宋_GB2312"/>
          <w:b/>
          <w:color w:val="000000"/>
          <w:sz w:val="32"/>
          <w:szCs w:val="32"/>
          <w:highlight w:val="none"/>
        </w:rPr>
      </w:pPr>
      <w:r>
        <w:rPr>
          <w:rFonts w:hint="eastAsia" w:ascii="仿宋_GB2312" w:hAnsi="ˎ̥" w:eastAsia="仿宋_GB2312"/>
          <w:b/>
          <w:color w:val="000000"/>
          <w:sz w:val="32"/>
          <w:szCs w:val="32"/>
          <w:highlight w:val="none"/>
          <w:lang w:val="en-US" w:eastAsia="zh-CN"/>
        </w:rPr>
        <w:t>3.</w:t>
      </w:r>
      <w:r>
        <w:rPr>
          <w:rFonts w:hint="eastAsia" w:ascii="仿宋_GB2312" w:hAnsi="ˎ̥" w:eastAsia="仿宋_GB2312"/>
          <w:b/>
          <w:color w:val="000000"/>
          <w:sz w:val="32"/>
          <w:szCs w:val="32"/>
          <w:highlight w:val="none"/>
          <w:lang w:eastAsia="zh-CN"/>
        </w:rPr>
        <w:t>社会保障和就业</w:t>
      </w:r>
      <w:r>
        <w:rPr>
          <w:rFonts w:hint="eastAsia" w:ascii="仿宋_GB2312" w:hAnsi="ˎ̥" w:eastAsia="仿宋_GB2312"/>
          <w:b/>
          <w:color w:val="000000"/>
          <w:sz w:val="32"/>
          <w:szCs w:val="32"/>
          <w:highlight w:val="none"/>
        </w:rPr>
        <w:t>（类）行政事业单位养老（款）机关事业单位基本养老保险缴费（项）。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年初预算为</w:t>
      </w:r>
      <w:r>
        <w:rPr>
          <w:rFonts w:hint="eastAsia" w:ascii="仿宋" w:hAnsi="仿宋" w:eastAsia="仿宋" w:cs="仿宋"/>
          <w:sz w:val="30"/>
          <w:szCs w:val="30"/>
          <w:lang w:val="en-US" w:eastAsia="zh-CN"/>
        </w:rPr>
        <w:t>37.51</w:t>
      </w:r>
      <w:r>
        <w:rPr>
          <w:rFonts w:hint="eastAsia" w:ascii="仿宋_GB2312" w:hAnsi="ˎ̥" w:eastAsia="仿宋_GB2312"/>
          <w:color w:val="000000"/>
          <w:sz w:val="32"/>
          <w:szCs w:val="32"/>
          <w:highlight w:val="none"/>
        </w:rPr>
        <w:t>万元，支出决算为</w:t>
      </w:r>
      <w:r>
        <w:rPr>
          <w:rFonts w:hint="eastAsia" w:ascii="仿宋" w:hAnsi="仿宋" w:eastAsia="仿宋" w:cs="仿宋"/>
          <w:sz w:val="30"/>
          <w:szCs w:val="30"/>
          <w:lang w:val="en-US" w:eastAsia="zh-CN"/>
        </w:rPr>
        <w:t>37.51</w:t>
      </w:r>
      <w:r>
        <w:rPr>
          <w:rFonts w:hint="eastAsia" w:ascii="仿宋_GB2312" w:hAnsi="ˎ̥" w:eastAsia="仿宋_GB2312"/>
          <w:color w:val="000000"/>
          <w:sz w:val="32"/>
          <w:szCs w:val="32"/>
          <w:highlight w:val="none"/>
        </w:rPr>
        <w:t>万元，完成年初预算的</w:t>
      </w:r>
      <w:r>
        <w:rPr>
          <w:rFonts w:hint="eastAsia" w:ascii="仿宋_GB2312" w:hAnsi="ˎ̥" w:eastAsia="仿宋_GB2312"/>
          <w:color w:val="000000"/>
          <w:sz w:val="32"/>
          <w:szCs w:val="32"/>
          <w:highlight w:val="none"/>
          <w:lang w:val="en-US" w:eastAsia="zh-CN"/>
        </w:rPr>
        <w:t>100</w:t>
      </w:r>
      <w:r>
        <w:rPr>
          <w:rFonts w:hint="eastAsia" w:ascii="仿宋_GB2312" w:hAnsi="ˎ̥" w:eastAsia="仿宋_GB2312"/>
          <w:color w:val="000000"/>
          <w:sz w:val="32"/>
          <w:szCs w:val="32"/>
          <w:highlight w:val="none"/>
        </w:rPr>
        <w:t>%。</w:t>
      </w:r>
      <w:r>
        <w:rPr>
          <w:rFonts w:hint="eastAsia" w:ascii="仿宋" w:hAnsi="仿宋" w:eastAsia="仿宋" w:cs="仿宋"/>
          <w:kern w:val="0"/>
          <w:sz w:val="30"/>
          <w:szCs w:val="30"/>
          <w:shd w:val="clear" w:color="auto" w:fill="FFFFFF"/>
        </w:rPr>
        <w:t>完成全部支出。</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ˎ̥" w:eastAsia="仿宋_GB2312"/>
          <w:b/>
          <w:color w:val="000000"/>
          <w:sz w:val="32"/>
          <w:szCs w:val="32"/>
          <w:highlight w:val="none"/>
        </w:rPr>
      </w:pPr>
      <w:r>
        <w:rPr>
          <w:rFonts w:hint="eastAsia" w:ascii="仿宋_GB2312" w:hAnsi="ˎ̥" w:eastAsia="仿宋_GB2312"/>
          <w:b/>
          <w:color w:val="000000"/>
          <w:sz w:val="32"/>
          <w:szCs w:val="32"/>
          <w:highlight w:val="none"/>
          <w:lang w:val="en-US" w:eastAsia="zh-CN"/>
        </w:rPr>
        <w:t>4.</w:t>
      </w:r>
      <w:r>
        <w:rPr>
          <w:rFonts w:hint="eastAsia" w:ascii="仿宋_GB2312" w:hAnsi="ˎ̥" w:eastAsia="仿宋_GB2312"/>
          <w:b/>
          <w:color w:val="000000"/>
          <w:sz w:val="32"/>
          <w:szCs w:val="32"/>
          <w:highlight w:val="none"/>
          <w:lang w:eastAsia="zh-CN"/>
        </w:rPr>
        <w:t>卫生健康</w:t>
      </w:r>
      <w:r>
        <w:rPr>
          <w:rFonts w:hint="eastAsia" w:ascii="仿宋_GB2312" w:hAnsi="ˎ̥" w:eastAsia="仿宋_GB2312"/>
          <w:b/>
          <w:color w:val="000000"/>
          <w:sz w:val="32"/>
          <w:szCs w:val="32"/>
          <w:highlight w:val="none"/>
        </w:rPr>
        <w:t>（类）行政事业单位医疗（款）事业单位医疗（项）。</w:t>
      </w: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ˎ̥" w:eastAsia="仿宋_GB2312"/>
          <w:color w:val="000000"/>
          <w:sz w:val="32"/>
          <w:szCs w:val="32"/>
          <w:highlight w:val="none"/>
        </w:rPr>
      </w:pPr>
      <w:r>
        <w:rPr>
          <w:rFonts w:hint="eastAsia" w:ascii="仿宋" w:hAnsi="仿宋" w:eastAsia="仿宋" w:cs="仿宋"/>
          <w:sz w:val="30"/>
          <w:szCs w:val="30"/>
          <w:shd w:val="clear" w:color="auto" w:fill="FFFFFF"/>
        </w:rPr>
        <w:t>年初预算为</w:t>
      </w:r>
      <w:r>
        <w:rPr>
          <w:rFonts w:hint="eastAsia" w:ascii="仿宋" w:hAnsi="仿宋" w:eastAsia="仿宋" w:cs="仿宋"/>
          <w:sz w:val="30"/>
          <w:szCs w:val="30"/>
          <w:shd w:val="clear" w:color="auto" w:fill="FFFFFF"/>
          <w:lang w:val="en-US" w:eastAsia="zh-CN"/>
        </w:rPr>
        <w:t>18.79</w:t>
      </w:r>
      <w:r>
        <w:rPr>
          <w:rFonts w:hint="eastAsia" w:ascii="仿宋" w:hAnsi="仿宋" w:eastAsia="仿宋" w:cs="仿宋"/>
          <w:sz w:val="30"/>
          <w:szCs w:val="30"/>
          <w:shd w:val="clear" w:color="auto" w:fill="FFFFFF"/>
        </w:rPr>
        <w:t>万元，支出决算为</w:t>
      </w:r>
      <w:r>
        <w:rPr>
          <w:rFonts w:hint="eastAsia" w:ascii="仿宋_GB2312" w:hAnsi="ˎ̥" w:eastAsia="仿宋_GB2312" w:cs="仿宋_GB2312"/>
          <w:sz w:val="32"/>
          <w:szCs w:val="32"/>
          <w:lang w:val="en-US" w:eastAsia="zh-CN"/>
        </w:rPr>
        <w:t>18.79</w:t>
      </w:r>
      <w:r>
        <w:rPr>
          <w:rFonts w:hint="eastAsia" w:ascii="仿宋" w:hAnsi="仿宋" w:eastAsia="仿宋" w:cs="仿宋"/>
          <w:sz w:val="30"/>
          <w:szCs w:val="30"/>
          <w:shd w:val="clear" w:color="auto" w:fill="FFFFFF"/>
        </w:rPr>
        <w:t>元，完成年初预算的100%。</w:t>
      </w:r>
      <w:r>
        <w:rPr>
          <w:rFonts w:hint="eastAsia" w:ascii="仿宋" w:hAnsi="仿宋" w:eastAsia="仿宋" w:cs="仿宋"/>
          <w:kern w:val="0"/>
          <w:sz w:val="30"/>
          <w:szCs w:val="30"/>
          <w:shd w:val="clear" w:color="auto" w:fill="FFFFFF"/>
        </w:rPr>
        <w:t>完成全部支出。</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ˎ̥" w:eastAsia="仿宋_GB2312"/>
          <w:b/>
          <w:color w:val="000000"/>
          <w:sz w:val="32"/>
          <w:szCs w:val="32"/>
          <w:highlight w:val="none"/>
        </w:rPr>
      </w:pPr>
      <w:r>
        <w:rPr>
          <w:rFonts w:hint="eastAsia" w:ascii="仿宋_GB2312" w:hAnsi="ˎ̥" w:eastAsia="仿宋_GB2312"/>
          <w:b/>
          <w:color w:val="000000"/>
          <w:sz w:val="32"/>
          <w:szCs w:val="32"/>
          <w:highlight w:val="none"/>
          <w:lang w:val="en-US" w:eastAsia="zh-CN"/>
        </w:rPr>
        <w:t>5.</w:t>
      </w:r>
      <w:r>
        <w:rPr>
          <w:rFonts w:hint="eastAsia" w:ascii="仿宋_GB2312" w:hAnsi="ˎ̥" w:eastAsia="仿宋_GB2312"/>
          <w:b/>
          <w:color w:val="000000"/>
          <w:sz w:val="32"/>
          <w:szCs w:val="32"/>
          <w:highlight w:val="none"/>
          <w:lang w:eastAsia="zh-CN"/>
        </w:rPr>
        <w:t>卫生健康</w:t>
      </w:r>
      <w:r>
        <w:rPr>
          <w:rFonts w:hint="eastAsia" w:ascii="仿宋_GB2312" w:hAnsi="ˎ̥" w:eastAsia="仿宋_GB2312"/>
          <w:b/>
          <w:color w:val="000000"/>
          <w:sz w:val="32"/>
          <w:szCs w:val="32"/>
          <w:highlight w:val="none"/>
        </w:rPr>
        <w:t>（类）行政事业单位医疗（款）公务员医疗补助（项）。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0"/>
          <w:sz w:val="30"/>
          <w:szCs w:val="30"/>
          <w:shd w:val="clear" w:color="auto" w:fill="FFFFFF"/>
        </w:rPr>
      </w:pPr>
      <w:r>
        <w:rPr>
          <w:rFonts w:hint="default" w:ascii="仿宋_GB2312" w:hAnsi="ˎ̥" w:eastAsia="仿宋_GB2312" w:cs="仿宋_GB2312"/>
          <w:kern w:val="0"/>
          <w:sz w:val="32"/>
          <w:szCs w:val="32"/>
        </w:rPr>
        <w:t>年初预算为</w:t>
      </w:r>
      <w:r>
        <w:rPr>
          <w:rFonts w:hint="eastAsia" w:ascii="仿宋_GB2312" w:hAnsi="ˎ̥" w:eastAsia="仿宋_GB2312" w:cs="仿宋_GB2312"/>
          <w:kern w:val="0"/>
          <w:sz w:val="32"/>
          <w:szCs w:val="32"/>
          <w:lang w:val="en-US" w:eastAsia="zh-CN"/>
        </w:rPr>
        <w:t>34.45</w:t>
      </w:r>
      <w:r>
        <w:rPr>
          <w:rFonts w:hint="default" w:ascii="仿宋_GB2312" w:hAnsi="ˎ̥" w:eastAsia="仿宋_GB2312" w:cs="仿宋_GB2312"/>
          <w:kern w:val="0"/>
          <w:sz w:val="32"/>
          <w:szCs w:val="32"/>
        </w:rPr>
        <w:t>万元，支出决算为</w:t>
      </w:r>
      <w:r>
        <w:rPr>
          <w:rFonts w:hint="eastAsia" w:ascii="仿宋_GB2312" w:hAnsi="ˎ̥" w:eastAsia="仿宋_GB2312" w:cs="仿宋_GB2312"/>
          <w:kern w:val="0"/>
          <w:sz w:val="32"/>
          <w:szCs w:val="32"/>
          <w:lang w:val="en-US" w:eastAsia="zh-CN"/>
        </w:rPr>
        <w:t>34.45</w:t>
      </w:r>
      <w:r>
        <w:rPr>
          <w:rFonts w:hint="default" w:ascii="仿宋_GB2312" w:hAnsi="ˎ̥" w:eastAsia="仿宋_GB2312" w:cs="仿宋_GB2312"/>
          <w:kern w:val="0"/>
          <w:sz w:val="32"/>
          <w:szCs w:val="32"/>
        </w:rPr>
        <w:t>万元，完成年初预算的100%。</w:t>
      </w:r>
      <w:r>
        <w:rPr>
          <w:rFonts w:hint="eastAsia" w:ascii="仿宋" w:hAnsi="仿宋" w:eastAsia="仿宋" w:cs="仿宋"/>
          <w:kern w:val="0"/>
          <w:sz w:val="30"/>
          <w:szCs w:val="30"/>
          <w:shd w:val="clear" w:color="auto" w:fill="FFFFFF"/>
        </w:rPr>
        <w:t>完成全部支出。</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ˎ̥" w:eastAsia="仿宋_GB2312"/>
          <w:b/>
          <w:color w:val="000000"/>
          <w:sz w:val="32"/>
          <w:szCs w:val="32"/>
          <w:highlight w:val="none"/>
        </w:rPr>
      </w:pPr>
      <w:r>
        <w:rPr>
          <w:rFonts w:hint="eastAsia" w:ascii="仿宋_GB2312" w:hAnsi="ˎ̥" w:eastAsia="仿宋_GB2312"/>
          <w:b/>
          <w:color w:val="000000"/>
          <w:sz w:val="32"/>
          <w:szCs w:val="32"/>
          <w:highlight w:val="none"/>
          <w:lang w:val="en-US" w:eastAsia="zh-CN"/>
        </w:rPr>
        <w:t>6.</w:t>
      </w:r>
      <w:r>
        <w:rPr>
          <w:rFonts w:hint="eastAsia" w:ascii="仿宋_GB2312" w:hAnsi="ˎ̥" w:eastAsia="仿宋_GB2312"/>
          <w:b/>
          <w:color w:val="000000"/>
          <w:sz w:val="32"/>
          <w:szCs w:val="32"/>
          <w:highlight w:val="none"/>
          <w:lang w:eastAsia="zh-CN"/>
        </w:rPr>
        <w:t>住房保障</w:t>
      </w:r>
      <w:r>
        <w:rPr>
          <w:rFonts w:hint="eastAsia" w:ascii="仿宋_GB2312" w:hAnsi="ˎ̥" w:eastAsia="仿宋_GB2312"/>
          <w:b/>
          <w:color w:val="000000"/>
          <w:sz w:val="32"/>
          <w:szCs w:val="32"/>
          <w:highlight w:val="none"/>
        </w:rPr>
        <w:t>（类）住房改革（款）住房公积金（项）。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年初预算为</w:t>
      </w:r>
      <w:r>
        <w:rPr>
          <w:rFonts w:hint="eastAsia" w:ascii="仿宋_GB2312" w:hAnsi="ˎ̥" w:eastAsia="仿宋_GB2312" w:cs="仿宋_GB2312"/>
          <w:sz w:val="32"/>
          <w:szCs w:val="32"/>
          <w:lang w:val="en-US" w:eastAsia="zh-CN"/>
        </w:rPr>
        <w:t>33.33</w:t>
      </w:r>
      <w:r>
        <w:rPr>
          <w:rFonts w:hint="eastAsia" w:ascii="仿宋_GB2312" w:hAnsi="ˎ̥" w:eastAsia="仿宋_GB2312"/>
          <w:color w:val="000000"/>
          <w:sz w:val="32"/>
          <w:szCs w:val="32"/>
          <w:highlight w:val="none"/>
        </w:rPr>
        <w:t>万元，支出决算为</w:t>
      </w:r>
      <w:r>
        <w:rPr>
          <w:rFonts w:hint="eastAsia" w:ascii="仿宋_GB2312" w:hAnsi="ˎ̥" w:eastAsia="仿宋_GB2312" w:cs="仿宋_GB2312"/>
          <w:sz w:val="32"/>
          <w:szCs w:val="32"/>
          <w:lang w:val="en-US" w:eastAsia="zh-CN"/>
        </w:rPr>
        <w:t>33.33</w:t>
      </w:r>
      <w:r>
        <w:rPr>
          <w:rFonts w:hint="eastAsia" w:ascii="仿宋_GB2312" w:hAnsi="ˎ̥" w:eastAsia="仿宋_GB2312"/>
          <w:color w:val="000000"/>
          <w:sz w:val="32"/>
          <w:szCs w:val="32"/>
          <w:highlight w:val="none"/>
        </w:rPr>
        <w:t>万元，完成年初预算的</w:t>
      </w:r>
      <w:r>
        <w:rPr>
          <w:rFonts w:hint="eastAsia" w:ascii="仿宋_GB2312" w:hAnsi="ˎ̥" w:eastAsia="仿宋_GB2312"/>
          <w:color w:val="000000"/>
          <w:sz w:val="32"/>
          <w:szCs w:val="32"/>
          <w:highlight w:val="none"/>
          <w:lang w:val="en-US" w:eastAsia="zh-CN"/>
        </w:rPr>
        <w:t>100</w:t>
      </w:r>
      <w:r>
        <w:rPr>
          <w:rFonts w:hint="eastAsia" w:ascii="仿宋_GB2312" w:hAnsi="ˎ̥" w:eastAsia="仿宋_GB2312"/>
          <w:color w:val="000000"/>
          <w:sz w:val="32"/>
          <w:szCs w:val="32"/>
          <w:highlight w:val="none"/>
        </w:rPr>
        <w:t>%。</w:t>
      </w:r>
      <w:r>
        <w:rPr>
          <w:rFonts w:hint="eastAsia" w:ascii="仿宋" w:hAnsi="仿宋" w:eastAsia="仿宋" w:cs="仿宋"/>
          <w:kern w:val="0"/>
          <w:sz w:val="30"/>
          <w:szCs w:val="30"/>
          <w:shd w:val="clear" w:color="auto" w:fill="FFFFFF"/>
        </w:rPr>
        <w:t>完成全部支出。</w:t>
      </w:r>
    </w:p>
    <w:p>
      <w:pPr>
        <w:keepNext w:val="0"/>
        <w:keepLines w:val="0"/>
        <w:pageBreakBefore w:val="0"/>
        <w:kinsoku/>
        <w:wordWrap/>
        <w:overflowPunct/>
        <w:topLinePunct w:val="0"/>
        <w:autoSpaceDE/>
        <w:autoSpaceDN/>
        <w:bidi w:val="0"/>
        <w:adjustRightInd/>
        <w:snapToGrid/>
        <w:spacing w:line="560" w:lineRule="exact"/>
        <w:ind w:firstLine="627" w:firstLineChars="196"/>
        <w:textAlignment w:val="auto"/>
        <w:rPr>
          <w:rFonts w:hint="eastAsia"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bCs/>
          <w:color w:val="000000" w:themeColor="text1"/>
          <w:sz w:val="32"/>
          <w:szCs w:val="32"/>
          <w:highlight w:val="none"/>
          <w14:textFill>
            <w14:solidFill>
              <w14:schemeClr w14:val="tx1"/>
            </w14:solidFill>
          </w14:textFill>
        </w:rPr>
        <w:t>六、一般公共预算财政拨款基本支出决算情况说明</w:t>
      </w:r>
    </w:p>
    <w:p>
      <w:pPr>
        <w:keepNext w:val="0"/>
        <w:keepLines w:val="0"/>
        <w:pageBreakBefore w:val="0"/>
        <w:tabs>
          <w:tab w:val="center" w:pos="4473"/>
        </w:tabs>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lang w:eastAsia="zh-CN"/>
        </w:rPr>
      </w:pPr>
      <w:r>
        <w:rPr>
          <w:rFonts w:hint="eastAsia" w:ascii="仿宋_GB2312" w:hAnsi="ˎ̥" w:eastAsia="仿宋_GB2312"/>
          <w:color w:val="000000" w:themeColor="text1"/>
          <w:sz w:val="32"/>
          <w:szCs w:val="32"/>
          <w:highlight w:val="none"/>
          <w14:textFill>
            <w14:solidFill>
              <w14:schemeClr w14:val="tx1"/>
            </w14:solidFill>
          </w14:textFill>
        </w:rPr>
        <w:t>2022年度财政拨款基本支出</w:t>
      </w:r>
      <w:r>
        <w:rPr>
          <w:rFonts w:hint="eastAsia" w:ascii="仿宋" w:hAnsi="仿宋" w:eastAsia="仿宋" w:cs="仿宋"/>
          <w:color w:val="000000" w:themeColor="text1"/>
          <w:sz w:val="30"/>
          <w:szCs w:val="30"/>
          <w:lang w:val="en-US" w:eastAsia="zh-CN"/>
          <w14:textFill>
            <w14:solidFill>
              <w14:schemeClr w14:val="tx1"/>
            </w14:solidFill>
          </w14:textFill>
        </w:rPr>
        <w:t>489.13</w:t>
      </w:r>
      <w:r>
        <w:rPr>
          <w:rFonts w:hint="eastAsia" w:ascii="仿宋_GB2312" w:hAnsi="ˎ̥" w:eastAsia="仿宋_GB2312"/>
          <w:color w:val="000000" w:themeColor="text1"/>
          <w:sz w:val="32"/>
          <w:szCs w:val="32"/>
          <w:highlight w:val="none"/>
          <w14:textFill>
            <w14:solidFill>
              <w14:schemeClr w14:val="tx1"/>
            </w14:solidFill>
          </w14:textFill>
        </w:rPr>
        <w:t>万元，其中：人员经费</w:t>
      </w:r>
      <w:r>
        <w:rPr>
          <w:rFonts w:hint="eastAsia" w:ascii="仿宋" w:hAnsi="仿宋" w:eastAsia="仿宋" w:cs="仿宋"/>
          <w:color w:val="000000" w:themeColor="text1"/>
          <w:sz w:val="30"/>
          <w:szCs w:val="30"/>
          <w:lang w:val="en-US" w:eastAsia="zh-CN"/>
          <w14:textFill>
            <w14:solidFill>
              <w14:schemeClr w14:val="tx1"/>
            </w14:solidFill>
          </w14:textFill>
        </w:rPr>
        <w:t>468.81</w:t>
      </w:r>
      <w:r>
        <w:rPr>
          <w:rFonts w:hint="eastAsia" w:ascii="仿宋_GB2312" w:hAnsi="ˎ̥" w:eastAsia="仿宋_GB2312"/>
          <w:color w:val="000000" w:themeColor="text1"/>
          <w:sz w:val="32"/>
          <w:szCs w:val="32"/>
          <w:highlight w:val="none"/>
          <w14:textFill>
            <w14:solidFill>
              <w14:schemeClr w14:val="tx1"/>
            </w14:solidFill>
          </w14:textFill>
        </w:rPr>
        <w:t>万元，主要包括：工资福利支出中的基本工资、津贴补贴、绩效工资、机关事业单位基本养老保险缴费、职业年金缴费、职工基本医疗保险缴费、公务员医疗补助缴费、其他社会保障</w:t>
      </w:r>
      <w:r>
        <w:rPr>
          <w:rFonts w:hint="eastAsia" w:ascii="仿宋_GB2312" w:hAnsi="ˎ̥" w:eastAsia="仿宋_GB2312"/>
          <w:color w:val="000000"/>
          <w:sz w:val="32"/>
          <w:szCs w:val="32"/>
          <w:highlight w:val="none"/>
        </w:rPr>
        <w:t>缴费、住房公积金、医疗费。公用经费</w:t>
      </w:r>
      <w:r>
        <w:rPr>
          <w:rFonts w:hint="eastAsia" w:ascii="仿宋_GB2312" w:hAnsi="ˎ̥" w:eastAsia="仿宋_GB2312"/>
          <w:color w:val="000000"/>
          <w:sz w:val="32"/>
          <w:szCs w:val="32"/>
          <w:highlight w:val="none"/>
          <w:lang w:val="en-US" w:eastAsia="zh-CN"/>
        </w:rPr>
        <w:t>20.32</w:t>
      </w:r>
      <w:r>
        <w:rPr>
          <w:rFonts w:hint="eastAsia" w:ascii="仿宋_GB2312" w:hAnsi="ˎ̥" w:eastAsia="仿宋_GB2312"/>
          <w:color w:val="000000"/>
          <w:sz w:val="32"/>
          <w:szCs w:val="32"/>
          <w:highlight w:val="none"/>
        </w:rPr>
        <w:t>万元，主要包括：商品和服务支出中的办公费、水费、电费、邮电费、维修（护）费、专用材料费、工会经费、其他商品和服务支出</w:t>
      </w:r>
      <w:r>
        <w:rPr>
          <w:rFonts w:hint="eastAsia" w:ascii="仿宋_GB2312" w:hAnsi="ˎ̥" w:eastAsia="仿宋_GB2312"/>
          <w:color w:val="000000"/>
          <w:sz w:val="32"/>
          <w:szCs w:val="32"/>
          <w:highlight w:val="none"/>
          <w:lang w:eastAsia="zh-CN"/>
        </w:rPr>
        <w:t>。</w:t>
      </w:r>
    </w:p>
    <w:p>
      <w:pPr>
        <w:keepNext w:val="0"/>
        <w:keepLines w:val="0"/>
        <w:pageBreakBefore w:val="0"/>
        <w:tabs>
          <w:tab w:val="center" w:pos="4473"/>
        </w:tabs>
        <w:kinsoku/>
        <w:wordWrap/>
        <w:overflowPunct/>
        <w:topLinePunct w:val="0"/>
        <w:autoSpaceDE/>
        <w:autoSpaceDN/>
        <w:bidi w:val="0"/>
        <w:adjustRightInd/>
        <w:snapToGrid/>
        <w:spacing w:line="560" w:lineRule="exact"/>
        <w:ind w:firstLine="627" w:firstLineChars="196"/>
        <w:textAlignment w:val="auto"/>
        <w:rPr>
          <w:rFonts w:hint="eastAsia" w:ascii="黑体" w:hAnsi="黑体" w:eastAsia="黑体" w:cs="黑体"/>
          <w:bCs/>
          <w:color w:val="000000"/>
          <w:sz w:val="32"/>
          <w:szCs w:val="32"/>
          <w:highlight w:val="none"/>
        </w:rPr>
      </w:pPr>
      <w:r>
        <w:rPr>
          <w:rFonts w:hint="eastAsia" w:ascii="黑体" w:hAnsi="黑体" w:eastAsia="黑体" w:cs="黑体"/>
          <w:bCs/>
          <w:color w:val="000000"/>
          <w:sz w:val="32"/>
          <w:szCs w:val="32"/>
          <w:highlight w:val="none"/>
        </w:rPr>
        <w:t>七、政府性基金预算财政拨款支出决算情况说明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sz w:val="32"/>
          <w:szCs w:val="32"/>
          <w:highlight w:val="none"/>
        </w:rPr>
      </w:pPr>
      <w:r>
        <w:rPr>
          <w:rFonts w:hint="eastAsia" w:ascii="楷体" w:hAnsi="楷体" w:eastAsia="楷体" w:cs="楷体"/>
          <w:color w:val="000000"/>
          <w:sz w:val="32"/>
          <w:szCs w:val="32"/>
          <w:highlight w:val="none"/>
        </w:rPr>
        <w:t>（一）政府性基金预算财政拨款支出决算总体情况。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2022年度政府性基金预算财政拨款支出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万元，占本年支出合计的</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%。与2021年度相比，政府性基金预算财政拨款支出增加</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万元，增长</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%，主要原因是</w:t>
      </w:r>
      <w:r>
        <w:rPr>
          <w:rFonts w:hint="eastAsia" w:ascii="仿宋_GB2312" w:hAnsi="ˎ̥" w:eastAsia="仿宋_GB2312"/>
          <w:color w:val="000000"/>
          <w:sz w:val="32"/>
          <w:szCs w:val="32"/>
          <w:highlight w:val="none"/>
          <w:lang w:eastAsia="zh-CN"/>
        </w:rPr>
        <w:t>无</w:t>
      </w:r>
      <w:r>
        <w:rPr>
          <w:rFonts w:hint="eastAsia" w:ascii="仿宋_GB2312" w:hAnsi="ˎ̥" w:eastAsia="仿宋_GB2312"/>
          <w:color w:val="000000"/>
          <w:sz w:val="32"/>
          <w:szCs w:val="32"/>
          <w:highlight w:val="none"/>
        </w:rPr>
        <w:t>政府性基金预算财政拨款支出。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sz w:val="32"/>
          <w:szCs w:val="32"/>
          <w:highlight w:val="none"/>
        </w:rPr>
      </w:pPr>
      <w:r>
        <w:rPr>
          <w:rFonts w:hint="eastAsia" w:ascii="楷体" w:hAnsi="楷体" w:eastAsia="楷体" w:cs="楷体"/>
          <w:color w:val="000000"/>
          <w:sz w:val="32"/>
          <w:szCs w:val="32"/>
          <w:highlight w:val="none"/>
        </w:rPr>
        <w:t>（二）政府性基金预算财政拨款支出决算结构情况。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本年没有发生与该表相关的收支决算数据</w:t>
      </w:r>
      <w:r>
        <w:rPr>
          <w:rFonts w:hint="eastAsia" w:ascii="仿宋_GB2312" w:hAnsi="仿宋_GB2312" w:eastAsia="仿宋_GB2312" w:cs="仿宋_GB2312"/>
          <w:color w:val="auto"/>
          <w:kern w:val="0"/>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sz w:val="32"/>
          <w:szCs w:val="32"/>
          <w:highlight w:val="none"/>
        </w:rPr>
      </w:pPr>
      <w:r>
        <w:rPr>
          <w:rFonts w:hint="eastAsia" w:ascii="楷体" w:hAnsi="楷体" w:eastAsia="楷体" w:cs="楷体"/>
          <w:color w:val="000000"/>
          <w:sz w:val="32"/>
          <w:szCs w:val="32"/>
          <w:highlight w:val="none"/>
        </w:rPr>
        <w:t>（三）政府性基金预算财政拨款支出决算具体情况。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本年没有发生与该表相关的收支决算数据</w:t>
      </w:r>
      <w:r>
        <w:rPr>
          <w:rFonts w:hint="eastAsia" w:ascii="仿宋_GB2312" w:hAnsi="仿宋_GB2312" w:eastAsia="仿宋_GB2312" w:cs="仿宋_GB2312"/>
          <w:color w:val="auto"/>
          <w:kern w:val="0"/>
          <w:sz w:val="32"/>
          <w:szCs w:val="32"/>
          <w:highlight w:val="none"/>
          <w:lang w:eastAsia="zh-CN"/>
        </w:rPr>
        <w:t>。</w:t>
      </w:r>
    </w:p>
    <w:p>
      <w:pPr>
        <w:keepNext w:val="0"/>
        <w:keepLines w:val="0"/>
        <w:pageBreakBefore w:val="0"/>
        <w:tabs>
          <w:tab w:val="center" w:pos="4473"/>
        </w:tabs>
        <w:kinsoku/>
        <w:wordWrap/>
        <w:overflowPunct/>
        <w:topLinePunct w:val="0"/>
        <w:autoSpaceDE/>
        <w:autoSpaceDN/>
        <w:bidi w:val="0"/>
        <w:adjustRightInd/>
        <w:snapToGrid/>
        <w:spacing w:line="560" w:lineRule="exact"/>
        <w:ind w:firstLine="627" w:firstLineChars="196"/>
        <w:textAlignment w:val="auto"/>
        <w:rPr>
          <w:rFonts w:hint="eastAsia" w:ascii="黑体" w:hAnsi="黑体" w:eastAsia="黑体" w:cs="黑体"/>
          <w:bCs/>
          <w:color w:val="000000"/>
          <w:sz w:val="32"/>
          <w:szCs w:val="32"/>
          <w:highlight w:val="none"/>
        </w:rPr>
      </w:pPr>
      <w:r>
        <w:rPr>
          <w:rFonts w:hint="eastAsia" w:ascii="黑体" w:hAnsi="黑体" w:eastAsia="黑体" w:cs="黑体"/>
          <w:bCs/>
          <w:color w:val="000000"/>
          <w:sz w:val="32"/>
          <w:szCs w:val="32"/>
          <w:highlight w:val="none"/>
        </w:rPr>
        <w:t>八、国有资本经营预算财政拨款支出决算情况说明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sz w:val="32"/>
          <w:szCs w:val="32"/>
          <w:highlight w:val="none"/>
        </w:rPr>
      </w:pPr>
      <w:r>
        <w:rPr>
          <w:rFonts w:hint="eastAsia" w:ascii="楷体" w:hAnsi="楷体" w:eastAsia="楷体" w:cs="楷体"/>
          <w:color w:val="000000"/>
          <w:sz w:val="32"/>
          <w:szCs w:val="32"/>
          <w:highlight w:val="none"/>
        </w:rPr>
        <w:t>（一）国有资本经营预算财政拨款支出决算总体情况。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本年没有发生与该表相关的收支决算数据</w:t>
      </w:r>
      <w:r>
        <w:rPr>
          <w:rFonts w:hint="eastAsia" w:ascii="仿宋_GB2312" w:hAnsi="仿宋_GB2312" w:eastAsia="仿宋_GB2312" w:cs="仿宋_GB2312"/>
          <w:color w:val="auto"/>
          <w:kern w:val="0"/>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sz w:val="32"/>
          <w:szCs w:val="32"/>
          <w:highlight w:val="none"/>
        </w:rPr>
      </w:pPr>
      <w:r>
        <w:rPr>
          <w:rFonts w:hint="eastAsia" w:ascii="楷体" w:hAnsi="楷体" w:eastAsia="楷体" w:cs="楷体"/>
          <w:color w:val="000000"/>
          <w:sz w:val="32"/>
          <w:szCs w:val="32"/>
          <w:highlight w:val="none"/>
        </w:rPr>
        <w:t>（二）国有资本经营预算财政拨款支出决算结构情况。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本年没有发生与该表相关的收支决算数据</w:t>
      </w:r>
      <w:r>
        <w:rPr>
          <w:rFonts w:hint="eastAsia" w:ascii="仿宋_GB2312" w:hAnsi="仿宋_GB2312" w:eastAsia="仿宋_GB2312" w:cs="仿宋_GB2312"/>
          <w:color w:val="auto"/>
          <w:kern w:val="0"/>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sz w:val="32"/>
          <w:szCs w:val="32"/>
          <w:highlight w:val="none"/>
        </w:rPr>
      </w:pPr>
      <w:r>
        <w:rPr>
          <w:rFonts w:hint="eastAsia" w:ascii="楷体" w:hAnsi="楷体" w:eastAsia="楷体" w:cs="楷体"/>
          <w:color w:val="000000"/>
          <w:sz w:val="32"/>
          <w:szCs w:val="32"/>
          <w:highlight w:val="none"/>
        </w:rPr>
        <w:t>（三）国有资本经营预算财政拨款支出决算具体情况。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本年没有发生与该表相关的收支决算数据</w:t>
      </w:r>
      <w:r>
        <w:rPr>
          <w:rFonts w:hint="eastAsia" w:ascii="仿宋_GB2312" w:hAnsi="仿宋_GB2312" w:eastAsia="仿宋_GB2312" w:cs="仿宋_GB2312"/>
          <w:color w:val="auto"/>
          <w:kern w:val="0"/>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firstLine="627" w:firstLineChars="196"/>
        <w:textAlignment w:val="auto"/>
        <w:rPr>
          <w:rFonts w:hint="eastAsia" w:ascii="仿宋_GB2312" w:hAnsi="ˎ̥" w:eastAsia="楷体_GB2312"/>
          <w:color w:val="000000"/>
          <w:sz w:val="32"/>
          <w:szCs w:val="32"/>
          <w:highlight w:val="none"/>
        </w:rPr>
      </w:pPr>
      <w:r>
        <w:rPr>
          <w:rFonts w:hint="eastAsia" w:ascii="黑体" w:hAnsi="黑体" w:eastAsia="黑体" w:cs="黑体"/>
          <w:bCs/>
          <w:color w:val="000000"/>
          <w:sz w:val="32"/>
          <w:szCs w:val="32"/>
          <w:highlight w:val="none"/>
        </w:rPr>
        <w:t>九、财政拨款“三公”经费支出决算情况说明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Cs/>
          <w:color w:val="000000"/>
          <w:sz w:val="32"/>
          <w:szCs w:val="32"/>
          <w:highlight w:val="none"/>
        </w:rPr>
      </w:pPr>
      <w:r>
        <w:rPr>
          <w:rFonts w:hint="eastAsia" w:ascii="楷体" w:hAnsi="楷体" w:eastAsia="楷体" w:cs="楷体"/>
          <w:bCs/>
          <w:color w:val="000000"/>
          <w:sz w:val="32"/>
          <w:szCs w:val="32"/>
          <w:highlight w:val="none"/>
        </w:rPr>
        <w:t>（一）财政拨款“三公”经费支出决算总体情况说明。</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 xml:space="preserve">    2022年度财政拨款“三公”经费支出预算为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万元，支出决算为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万元，完成预算的</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楷体" w:hAnsi="楷体" w:eastAsia="楷体" w:cs="楷体"/>
          <w:color w:val="000000"/>
          <w:sz w:val="32"/>
          <w:szCs w:val="32"/>
          <w:highlight w:val="none"/>
        </w:rPr>
      </w:pPr>
      <w:r>
        <w:rPr>
          <w:rFonts w:hint="eastAsia" w:ascii="楷体" w:hAnsi="楷体" w:eastAsia="楷体" w:cs="楷体"/>
          <w:b/>
          <w:bCs/>
          <w:color w:val="000000"/>
          <w:sz w:val="32"/>
          <w:szCs w:val="32"/>
          <w:highlight w:val="none"/>
        </w:rPr>
        <w:t xml:space="preserve">   </w:t>
      </w:r>
      <w:r>
        <w:rPr>
          <w:rFonts w:hint="eastAsia" w:ascii="楷体" w:hAnsi="楷体" w:eastAsia="楷体" w:cs="楷体"/>
          <w:color w:val="000000"/>
          <w:sz w:val="32"/>
          <w:szCs w:val="32"/>
          <w:highlight w:val="none"/>
        </w:rPr>
        <w:t xml:space="preserve"> （二）财政拨款“三公”经费支出决算具体情况说明。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2022年度财政拨款“三公”经费支出决算中，因公出国（境）费支出决算</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万元，占</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%；公务用车购置及运行维护费支出决算</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万元，占</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%；公务接待费支出决算</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万元，占</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%。具体情况如下：</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ˎ̥" w:eastAsia="仿宋_GB2312"/>
          <w:color w:val="000000"/>
          <w:sz w:val="32"/>
          <w:szCs w:val="32"/>
          <w:highlight w:val="none"/>
          <w:lang w:val="en-US" w:eastAsia="zh-CN"/>
        </w:rPr>
      </w:pPr>
      <w:r>
        <w:rPr>
          <w:rFonts w:hint="eastAsia" w:ascii="仿宋_GB2312" w:hAnsi="ˎ̥" w:eastAsia="仿宋_GB2312"/>
          <w:b/>
          <w:color w:val="000000"/>
          <w:sz w:val="32"/>
          <w:szCs w:val="32"/>
          <w:highlight w:val="none"/>
        </w:rPr>
        <w:t>1.因公出国（境）费</w:t>
      </w:r>
      <w:r>
        <w:rPr>
          <w:rFonts w:hint="eastAsia" w:ascii="仿宋_GB2312" w:hAnsi="ˎ̥" w:eastAsia="仿宋_GB2312"/>
          <w:color w:val="000000"/>
          <w:sz w:val="32"/>
          <w:szCs w:val="32"/>
          <w:highlight w:val="none"/>
        </w:rPr>
        <w:t>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万元。全年安排因公出国（境）团组</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个，因公出国（境）</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人次。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因公出国（境）费支出决算比预算数增加</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万元，增长</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%。主要原因是</w:t>
      </w:r>
      <w:r>
        <w:rPr>
          <w:rFonts w:hint="eastAsia" w:ascii="仿宋_GB2312" w:hAnsi="ˎ̥" w:eastAsia="仿宋_GB2312"/>
          <w:color w:val="000000"/>
          <w:sz w:val="32"/>
          <w:szCs w:val="32"/>
          <w:highlight w:val="none"/>
          <w:lang w:eastAsia="zh-CN"/>
        </w:rPr>
        <w:t>无</w:t>
      </w:r>
      <w:r>
        <w:rPr>
          <w:rFonts w:hint="eastAsia" w:ascii="仿宋_GB2312" w:hAnsi="ˎ̥" w:eastAsia="仿宋_GB2312"/>
          <w:color w:val="000000"/>
          <w:sz w:val="32"/>
          <w:szCs w:val="32"/>
          <w:highlight w:val="none"/>
        </w:rPr>
        <w:t>因公出国（境）费支出。</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ˎ̥" w:eastAsia="仿宋_GB2312"/>
          <w:color w:val="000000"/>
          <w:sz w:val="32"/>
          <w:szCs w:val="32"/>
          <w:highlight w:val="none"/>
        </w:rPr>
      </w:pPr>
      <w:r>
        <w:rPr>
          <w:rFonts w:hint="eastAsia" w:ascii="仿宋_GB2312" w:hAnsi="ˎ̥" w:eastAsia="仿宋_GB2312"/>
          <w:b/>
          <w:color w:val="000000"/>
          <w:sz w:val="32"/>
          <w:szCs w:val="32"/>
          <w:highlight w:val="none"/>
        </w:rPr>
        <w:t xml:space="preserve">    2.公务用车购置及运行维护费支出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万元。其中：</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ˎ̥" w:eastAsia="仿宋_GB2312"/>
          <w:color w:val="000000"/>
          <w:sz w:val="32"/>
          <w:szCs w:val="32"/>
          <w:highlight w:val="none"/>
          <w:lang w:eastAsia="zh-CN"/>
        </w:rPr>
      </w:pPr>
      <w:r>
        <w:rPr>
          <w:rFonts w:hint="eastAsia" w:ascii="仿宋_GB2312" w:hAnsi="ˎ̥" w:eastAsia="仿宋_GB2312"/>
          <w:b/>
          <w:color w:val="000000"/>
          <w:sz w:val="32"/>
          <w:szCs w:val="32"/>
          <w:highlight w:val="none"/>
        </w:rPr>
        <w:t>公务用车购置支出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万元，全年购置公务用车</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辆，</w:t>
      </w:r>
      <w:r>
        <w:rPr>
          <w:rFonts w:hint="eastAsia" w:ascii="仿宋_GB2312" w:hAnsi="ˎ̥" w:eastAsia="仿宋_GB2312"/>
          <w:color w:val="000000"/>
          <w:sz w:val="32"/>
          <w:szCs w:val="32"/>
          <w:highlight w:val="none"/>
          <w:lang w:eastAsia="zh-CN"/>
        </w:rPr>
        <w:t>无</w:t>
      </w:r>
      <w:r>
        <w:rPr>
          <w:rFonts w:hint="eastAsia" w:ascii="仿宋_GB2312" w:hAnsi="ˎ̥" w:eastAsia="仿宋_GB2312"/>
          <w:b w:val="0"/>
          <w:bCs/>
          <w:color w:val="000000"/>
          <w:sz w:val="32"/>
          <w:szCs w:val="32"/>
          <w:highlight w:val="none"/>
        </w:rPr>
        <w:t>公务用车购置支出</w:t>
      </w:r>
      <w:r>
        <w:rPr>
          <w:rFonts w:hint="eastAsia" w:ascii="仿宋_GB2312" w:hAnsi="ˎ̥" w:eastAsia="仿宋_GB2312"/>
          <w:b w:val="0"/>
          <w:bCs/>
          <w:color w:val="000000"/>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ˎ̥" w:eastAsia="仿宋_GB2312"/>
          <w:color w:val="000000"/>
          <w:sz w:val="32"/>
          <w:szCs w:val="32"/>
          <w:highlight w:val="none"/>
        </w:rPr>
      </w:pPr>
      <w:r>
        <w:rPr>
          <w:rFonts w:hint="eastAsia" w:ascii="仿宋_GB2312" w:hAnsi="ˎ̥" w:eastAsia="仿宋_GB2312"/>
          <w:b/>
          <w:color w:val="000000"/>
          <w:sz w:val="32"/>
          <w:szCs w:val="32"/>
          <w:highlight w:val="none"/>
        </w:rPr>
        <w:t>公务用车运行维护费</w:t>
      </w:r>
      <w:r>
        <w:rPr>
          <w:rFonts w:hint="eastAsia" w:ascii="仿宋_GB2312" w:hAnsi="ˎ̥" w:eastAsia="仿宋_GB2312"/>
          <w:color w:val="000000"/>
          <w:sz w:val="32"/>
          <w:szCs w:val="32"/>
          <w:highlight w:val="none"/>
        </w:rPr>
        <w:t>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w:t>
      </w:r>
      <w:r>
        <w:rPr>
          <w:rFonts w:hint="eastAsia" w:ascii="仿宋_GB2312" w:hAnsi="ˎ̥" w:eastAsia="仿宋_GB2312"/>
          <w:b w:val="0"/>
          <w:bCs w:val="0"/>
          <w:color w:val="000000"/>
          <w:sz w:val="32"/>
          <w:szCs w:val="32"/>
          <w:highlight w:val="none"/>
          <w:lang w:eastAsia="zh-CN"/>
        </w:rPr>
        <w:t>无</w:t>
      </w:r>
      <w:r>
        <w:rPr>
          <w:rFonts w:hint="eastAsia" w:ascii="仿宋_GB2312" w:hAnsi="ˎ̥" w:eastAsia="仿宋_GB2312"/>
          <w:b w:val="0"/>
          <w:bCs w:val="0"/>
          <w:color w:val="000000"/>
          <w:sz w:val="32"/>
          <w:szCs w:val="32"/>
          <w:highlight w:val="none"/>
        </w:rPr>
        <w:t>公务用车运行维护费支出。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bCs/>
          <w:color w:val="000000"/>
          <w:sz w:val="32"/>
          <w:szCs w:val="32"/>
          <w:highlight w:val="none"/>
        </w:rPr>
      </w:pPr>
      <w:r>
        <w:rPr>
          <w:rFonts w:hint="eastAsia" w:ascii="仿宋_GB2312" w:hAnsi="ˎ̥" w:eastAsia="仿宋_GB2312"/>
          <w:bCs/>
          <w:color w:val="000000"/>
          <w:sz w:val="32"/>
          <w:szCs w:val="32"/>
          <w:highlight w:val="none"/>
        </w:rPr>
        <w:t>公务用车购置及运行费支出决算数</w:t>
      </w:r>
      <w:r>
        <w:rPr>
          <w:rFonts w:hint="eastAsia" w:ascii="仿宋_GB2312" w:hAnsi="ˎ̥" w:eastAsia="仿宋_GB2312"/>
          <w:color w:val="000000"/>
          <w:sz w:val="32"/>
          <w:szCs w:val="32"/>
          <w:highlight w:val="none"/>
        </w:rPr>
        <w:t>比预算数增加</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万元，增长</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%。主要原因是</w:t>
      </w:r>
      <w:r>
        <w:rPr>
          <w:rFonts w:hint="eastAsia" w:ascii="仿宋_GB2312" w:hAnsi="ˎ̥" w:eastAsia="仿宋_GB2312"/>
          <w:color w:val="000000"/>
          <w:sz w:val="32"/>
          <w:szCs w:val="32"/>
          <w:highlight w:val="none"/>
          <w:lang w:eastAsia="zh-CN"/>
        </w:rPr>
        <w:t>无</w:t>
      </w:r>
      <w:r>
        <w:rPr>
          <w:rFonts w:hint="eastAsia" w:ascii="仿宋_GB2312" w:hAnsi="ˎ̥" w:eastAsia="仿宋_GB2312"/>
          <w:bCs/>
          <w:color w:val="000000"/>
          <w:sz w:val="32"/>
          <w:szCs w:val="32"/>
          <w:highlight w:val="none"/>
        </w:rPr>
        <w:t>公务用车购置及运行费支出</w:t>
      </w:r>
      <w:r>
        <w:rPr>
          <w:rFonts w:hint="eastAsia" w:ascii="仿宋_GB2312" w:hAnsi="ˎ̥" w:eastAsia="仿宋_GB2312"/>
          <w:color w:val="000000"/>
          <w:sz w:val="32"/>
          <w:szCs w:val="32"/>
          <w:highlight w:val="none"/>
        </w:rPr>
        <w:t>。</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ˎ̥" w:eastAsia="仿宋_GB2312"/>
          <w:color w:val="000000"/>
          <w:sz w:val="32"/>
          <w:szCs w:val="32"/>
          <w:highlight w:val="none"/>
        </w:rPr>
      </w:pPr>
      <w:r>
        <w:rPr>
          <w:rFonts w:hint="eastAsia" w:ascii="仿宋_GB2312" w:hAnsi="ˎ̥" w:eastAsia="仿宋_GB2312"/>
          <w:b/>
          <w:color w:val="000000"/>
          <w:sz w:val="32"/>
          <w:szCs w:val="32"/>
          <w:highlight w:val="none"/>
        </w:rPr>
        <w:t xml:space="preserve">    3.公务接待费支出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万元，其中：</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ˎ̥" w:eastAsia="仿宋_GB2312"/>
          <w:color w:val="000000"/>
          <w:sz w:val="32"/>
          <w:szCs w:val="32"/>
          <w:highlight w:val="none"/>
        </w:rPr>
      </w:pPr>
      <w:r>
        <w:rPr>
          <w:rFonts w:hint="eastAsia" w:ascii="仿宋_GB2312" w:hAnsi="ˎ̥" w:eastAsia="仿宋_GB2312"/>
          <w:b/>
          <w:color w:val="000000"/>
          <w:sz w:val="32"/>
          <w:szCs w:val="32"/>
          <w:highlight w:val="none"/>
        </w:rPr>
        <w:t>国内接待费</w:t>
      </w:r>
      <w:r>
        <w:rPr>
          <w:rFonts w:hint="eastAsia" w:ascii="仿宋_GB2312" w:hAnsi="ˎ̥" w:eastAsia="仿宋_GB2312"/>
          <w:color w:val="000000"/>
          <w:sz w:val="32"/>
          <w:szCs w:val="32"/>
          <w:highlight w:val="none"/>
        </w:rPr>
        <w:t>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万元，国内公务接待</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批次，接待</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人次；</w:t>
      </w:r>
      <w:r>
        <w:rPr>
          <w:rFonts w:hint="eastAsia" w:ascii="仿宋_GB2312" w:hAnsi="ˎ̥" w:eastAsia="仿宋_GB2312"/>
          <w:b w:val="0"/>
          <w:bCs w:val="0"/>
          <w:color w:val="000000"/>
          <w:sz w:val="32"/>
          <w:szCs w:val="32"/>
          <w:highlight w:val="none"/>
          <w:lang w:eastAsia="zh-CN"/>
        </w:rPr>
        <w:t>无</w:t>
      </w:r>
      <w:r>
        <w:rPr>
          <w:rFonts w:hint="eastAsia" w:ascii="仿宋_GB2312" w:hAnsi="ˎ̥" w:eastAsia="仿宋_GB2312"/>
          <w:b w:val="0"/>
          <w:bCs w:val="0"/>
          <w:color w:val="000000"/>
          <w:sz w:val="32"/>
          <w:szCs w:val="32"/>
          <w:highlight w:val="none"/>
        </w:rPr>
        <w:t>国内接待费支出。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国（境）外接待费支出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万元，国（境）外公务接待</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批次，接待</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人次；</w:t>
      </w:r>
      <w:r>
        <w:rPr>
          <w:rFonts w:hint="eastAsia" w:ascii="仿宋_GB2312" w:hAnsi="ˎ̥" w:eastAsia="仿宋_GB2312"/>
          <w:color w:val="000000"/>
          <w:sz w:val="32"/>
          <w:szCs w:val="32"/>
          <w:highlight w:val="none"/>
          <w:lang w:eastAsia="zh-CN"/>
        </w:rPr>
        <w:t>无</w:t>
      </w:r>
      <w:r>
        <w:rPr>
          <w:rFonts w:hint="eastAsia" w:ascii="仿宋_GB2312" w:hAnsi="ˎ̥" w:eastAsia="仿宋_GB2312"/>
          <w:color w:val="000000"/>
          <w:sz w:val="32"/>
          <w:szCs w:val="32"/>
          <w:highlight w:val="none"/>
        </w:rPr>
        <w:t>国（境）外接待费支出。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公务接待费支出决算数比预算数增加</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万元，增长</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%。主要原因是</w:t>
      </w:r>
      <w:r>
        <w:rPr>
          <w:rFonts w:hint="eastAsia" w:ascii="仿宋_GB2312" w:hAnsi="ˎ̥" w:eastAsia="仿宋_GB2312"/>
          <w:color w:val="000000"/>
          <w:sz w:val="32"/>
          <w:szCs w:val="32"/>
          <w:highlight w:val="none"/>
          <w:lang w:eastAsia="zh-CN"/>
        </w:rPr>
        <w:t>无</w:t>
      </w:r>
      <w:r>
        <w:rPr>
          <w:rFonts w:hint="eastAsia" w:ascii="仿宋_GB2312" w:hAnsi="ˎ̥" w:eastAsia="仿宋_GB2312"/>
          <w:color w:val="000000"/>
          <w:sz w:val="32"/>
          <w:szCs w:val="32"/>
          <w:highlight w:val="none"/>
        </w:rPr>
        <w:t>公务接待费支出。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Cs/>
          <w:color w:val="000000"/>
          <w:sz w:val="32"/>
          <w:szCs w:val="32"/>
          <w:highlight w:val="none"/>
        </w:rPr>
      </w:pPr>
      <w:r>
        <w:rPr>
          <w:rFonts w:hint="eastAsia" w:ascii="黑体" w:hAnsi="黑体" w:eastAsia="黑体" w:cs="黑体"/>
          <w:bCs/>
          <w:color w:val="000000"/>
          <w:sz w:val="32"/>
          <w:szCs w:val="32"/>
          <w:highlight w:val="none"/>
        </w:rPr>
        <w:t>十、预算绩效情况说明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 w:val="0"/>
          <w:bCs/>
          <w:color w:val="000000"/>
          <w:sz w:val="32"/>
          <w:szCs w:val="32"/>
          <w:highlight w:val="none"/>
        </w:rPr>
      </w:pPr>
      <w:r>
        <w:rPr>
          <w:rFonts w:hint="eastAsia" w:ascii="楷体" w:hAnsi="楷体" w:eastAsia="楷体" w:cs="楷体"/>
          <w:b w:val="0"/>
          <w:bCs/>
          <w:color w:val="000000"/>
          <w:sz w:val="32"/>
          <w:szCs w:val="32"/>
          <w:highlight w:val="none"/>
          <w:lang w:eastAsia="zh-CN"/>
        </w:rPr>
        <w:t>（一）</w:t>
      </w:r>
      <w:r>
        <w:rPr>
          <w:rFonts w:hint="eastAsia" w:ascii="楷体" w:hAnsi="楷体" w:eastAsia="楷体" w:cs="楷体"/>
          <w:b w:val="0"/>
          <w:bCs/>
          <w:color w:val="000000"/>
          <w:sz w:val="32"/>
          <w:szCs w:val="32"/>
          <w:highlight w:val="none"/>
        </w:rPr>
        <w:t>绩效管理工作开展情况。</w:t>
      </w:r>
    </w:p>
    <w:p>
      <w:pPr>
        <w:keepNext w:val="0"/>
        <w:keepLines w:val="0"/>
        <w:pageBreakBefore w:val="0"/>
        <w:widowControl w:val="0"/>
        <w:suppressLineNumbers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eastAsia="仿宋_GB2312"/>
          <w:color w:val="000000"/>
          <w:sz w:val="32"/>
          <w:szCs w:val="32"/>
          <w:highlight w:val="none"/>
        </w:rPr>
      </w:pPr>
      <w:r>
        <w:rPr>
          <w:rFonts w:hint="eastAsia" w:ascii="仿宋_GB2312" w:eastAsia="仿宋_GB2312"/>
          <w:color w:val="000000"/>
          <w:sz w:val="32"/>
          <w:szCs w:val="32"/>
          <w:highlight w:val="none"/>
        </w:rPr>
        <w:t>根据预算管理要求，我单位组织对</w:t>
      </w:r>
      <w:r>
        <w:rPr>
          <w:rFonts w:hint="eastAsia" w:ascii="仿宋_GB2312" w:eastAsia="仿宋_GB2312"/>
          <w:color w:val="000000"/>
          <w:sz w:val="32"/>
          <w:szCs w:val="32"/>
          <w:highlight w:val="none"/>
          <w:lang w:eastAsia="zh-CN"/>
        </w:rPr>
        <w:t>202</w:t>
      </w:r>
      <w:r>
        <w:rPr>
          <w:rFonts w:hint="eastAsia" w:ascii="仿宋_GB2312" w:eastAsia="仿宋_GB2312"/>
          <w:color w:val="000000"/>
          <w:sz w:val="32"/>
          <w:szCs w:val="32"/>
          <w:highlight w:val="none"/>
          <w:lang w:val="en-US" w:eastAsia="zh-CN"/>
        </w:rPr>
        <w:t>2</w:t>
      </w:r>
      <w:r>
        <w:rPr>
          <w:rFonts w:hint="eastAsia" w:ascii="仿宋_GB2312" w:eastAsia="仿宋_GB2312"/>
          <w:color w:val="000000"/>
          <w:sz w:val="32"/>
          <w:szCs w:val="32"/>
          <w:highlight w:val="none"/>
          <w:lang w:eastAsia="zh-CN"/>
        </w:rPr>
        <w:t>年度</w:t>
      </w:r>
      <w:r>
        <w:rPr>
          <w:rFonts w:hint="eastAsia" w:ascii="仿宋_GB2312" w:eastAsia="仿宋_GB2312"/>
          <w:color w:val="000000"/>
          <w:sz w:val="32"/>
          <w:szCs w:val="32"/>
          <w:highlight w:val="none"/>
        </w:rPr>
        <w:t>一般公共预算项目支出全面开展绩效自评。</w:t>
      </w:r>
      <w:r>
        <w:rPr>
          <w:rFonts w:hint="eastAsia" w:ascii="仿宋_GB2312" w:hAnsi="Times New Roman" w:eastAsia="仿宋_GB2312" w:cs="Times New Roman"/>
          <w:color w:val="000000"/>
          <w:kern w:val="2"/>
          <w:sz w:val="32"/>
          <w:szCs w:val="32"/>
          <w:highlight w:val="none"/>
          <w:lang w:val="en-US" w:eastAsia="zh-CN" w:bidi="ar"/>
        </w:rPr>
        <w:t>其中，自评项目1</w:t>
      </w:r>
      <w:r>
        <w:rPr>
          <w:rFonts w:hint="eastAsia" w:ascii="仿宋_GB2312" w:eastAsia="仿宋_GB2312" w:cs="Times New Roman"/>
          <w:color w:val="000000"/>
          <w:kern w:val="2"/>
          <w:sz w:val="32"/>
          <w:szCs w:val="32"/>
          <w:highlight w:val="none"/>
          <w:lang w:val="en-US" w:eastAsia="zh-CN" w:bidi="ar"/>
        </w:rPr>
        <w:t>8</w:t>
      </w:r>
      <w:r>
        <w:rPr>
          <w:rFonts w:hint="eastAsia" w:ascii="仿宋_GB2312" w:hAnsi="Times New Roman" w:eastAsia="仿宋_GB2312" w:cs="Times New Roman"/>
          <w:color w:val="000000"/>
          <w:kern w:val="2"/>
          <w:sz w:val="32"/>
          <w:szCs w:val="32"/>
          <w:highlight w:val="none"/>
          <w:lang w:val="en-US" w:eastAsia="zh-CN" w:bidi="ar"/>
        </w:rPr>
        <w:t>个，共涉及资金</w:t>
      </w:r>
      <w:r>
        <w:rPr>
          <w:rFonts w:hint="eastAsia" w:ascii="仿宋_GB2312" w:eastAsia="仿宋_GB2312" w:cs="Times New Roman"/>
          <w:color w:val="000000"/>
          <w:kern w:val="2"/>
          <w:sz w:val="32"/>
          <w:szCs w:val="32"/>
          <w:highlight w:val="none"/>
          <w:lang w:val="en-US" w:eastAsia="zh-CN" w:bidi="ar"/>
        </w:rPr>
        <w:t>601.77</w:t>
      </w:r>
      <w:r>
        <w:rPr>
          <w:rFonts w:hint="eastAsia" w:ascii="仿宋_GB2312" w:hAnsi="Times New Roman" w:eastAsia="仿宋_GB2312" w:cs="Times New Roman"/>
          <w:color w:val="000000"/>
          <w:kern w:val="2"/>
          <w:sz w:val="32"/>
          <w:szCs w:val="32"/>
          <w:highlight w:val="none"/>
          <w:lang w:val="en-US" w:eastAsia="zh-CN" w:bidi="ar"/>
        </w:rPr>
        <w:t>万元，占一般公共预算项目支出总额的100%。组织对2022年度0个政府性基金预算项目开展绩效自评，共涉及资金0万元</w:t>
      </w:r>
      <w:r>
        <w:rPr>
          <w:rFonts w:hint="eastAsia" w:ascii="仿宋_GB2312" w:eastAsia="仿宋_GB2312" w:cs="Times New Roman"/>
          <w:color w:val="000000"/>
          <w:kern w:val="2"/>
          <w:sz w:val="32"/>
          <w:szCs w:val="32"/>
          <w:highlight w:val="none"/>
          <w:lang w:val="en-US" w:eastAsia="zh-CN" w:bidi="ar"/>
        </w:rPr>
        <w:t>，</w:t>
      </w:r>
      <w:r>
        <w:rPr>
          <w:rFonts w:hint="eastAsia" w:ascii="仿宋_GB2312" w:hAnsi="Times New Roman" w:eastAsia="仿宋_GB2312" w:cs="Times New Roman"/>
          <w:color w:val="000000"/>
          <w:kern w:val="2"/>
          <w:sz w:val="32"/>
          <w:szCs w:val="32"/>
          <w:highlight w:val="none"/>
          <w:lang w:val="en-US" w:eastAsia="zh-CN" w:bidi="ar"/>
        </w:rPr>
        <w:t>占政府性基金预算项目支出总额的0%。组织对2022年度0个国有资本经营预算项目开展绩效自评，共涉及资金0万元，占国有资本经营预算项目支出总额的0%。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楷体" w:hAnsi="楷体" w:eastAsia="楷体" w:cs="楷体"/>
          <w:b w:val="0"/>
          <w:bCs/>
          <w:color w:val="000000"/>
          <w:sz w:val="32"/>
          <w:szCs w:val="32"/>
          <w:highlight w:val="none"/>
          <w:lang w:val="en-US" w:eastAsia="zh-CN"/>
        </w:rPr>
      </w:pPr>
      <w:r>
        <w:rPr>
          <w:rFonts w:hint="eastAsia" w:ascii="楷体" w:hAnsi="楷体" w:eastAsia="楷体" w:cs="楷体"/>
          <w:b w:val="0"/>
          <w:bCs/>
          <w:color w:val="000000"/>
          <w:sz w:val="32"/>
          <w:szCs w:val="32"/>
          <w:highlight w:val="none"/>
          <w:lang w:eastAsia="zh-CN"/>
        </w:rPr>
        <w:t>（二）</w:t>
      </w:r>
      <w:r>
        <w:rPr>
          <w:rFonts w:hint="eastAsia" w:ascii="楷体" w:hAnsi="楷体" w:eastAsia="楷体" w:cs="楷体"/>
          <w:b w:val="0"/>
          <w:bCs/>
          <w:color w:val="000000"/>
          <w:sz w:val="32"/>
          <w:szCs w:val="32"/>
          <w:highlight w:val="none"/>
        </w:rPr>
        <w:t>部门决算中项目绩效自评结果</w:t>
      </w:r>
      <w:r>
        <w:rPr>
          <w:rFonts w:hint="eastAsia" w:ascii="楷体" w:hAnsi="楷体" w:eastAsia="楷体" w:cs="楷体"/>
          <w:b w:val="0"/>
          <w:bCs/>
          <w:color w:val="000000"/>
          <w:sz w:val="32"/>
          <w:szCs w:val="32"/>
          <w:highlight w:val="none"/>
          <w:lang w:eastAsia="zh-CN"/>
        </w:rPr>
        <w:t>（预算部门、单位可根据实际情况反映重点项目绩效自评结果）</w:t>
      </w:r>
      <w:r>
        <w:rPr>
          <w:rFonts w:hint="eastAsia" w:ascii="楷体" w:hAnsi="楷体" w:eastAsia="楷体" w:cs="楷体"/>
          <w:b w:val="0"/>
          <w:bCs/>
          <w:color w:val="000000"/>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sz w:val="32"/>
          <w:szCs w:val="32"/>
          <w:highlight w:val="none"/>
          <w:lang w:val="en-US" w:eastAsia="zh-CN"/>
        </w:rPr>
        <w:t>我单位在部门决算中反映</w:t>
      </w:r>
      <w:r>
        <w:rPr>
          <w:rFonts w:hint="eastAsia" w:ascii="仿宋_GB2312" w:hAnsi="仿宋_GB2312" w:eastAsia="仿宋_GB2312" w:cs="仿宋_GB2312"/>
          <w:color w:val="000000" w:themeColor="text1"/>
          <w:sz w:val="32"/>
          <w:szCs w:val="32"/>
          <w14:textFill>
            <w14:solidFill>
              <w14:schemeClr w14:val="tx1"/>
            </w14:solidFill>
          </w14:textFill>
        </w:rPr>
        <w:t>失业保险</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教育发展专项资金</w:t>
      </w:r>
      <w:r>
        <w:rPr>
          <w:rFonts w:hint="eastAsia" w:ascii="仿宋_GB2312" w:eastAsia="仿宋_GB2312"/>
          <w:color w:val="000000" w:themeColor="text1"/>
          <w:sz w:val="32"/>
          <w:szCs w:val="32"/>
          <w:highlight w:val="none"/>
          <w:lang w:val="en-US" w:eastAsia="zh-CN"/>
          <w14:textFill>
            <w14:solidFill>
              <w14:schemeClr w14:val="tx1"/>
            </w14:solidFill>
          </w14:textFill>
        </w:rPr>
        <w:t>等</w:t>
      </w:r>
      <w:r>
        <w:rPr>
          <w:rFonts w:hint="eastAsia" w:ascii="仿宋_GB2312" w:hAnsi="ˎ̥" w:eastAsia="仿宋_GB2312"/>
          <w:color w:val="000000" w:themeColor="text1"/>
          <w:sz w:val="32"/>
          <w:szCs w:val="32"/>
          <w:highlight w:val="none"/>
          <w:lang w:val="en-US" w:eastAsia="zh-CN"/>
          <w14:textFill>
            <w14:solidFill>
              <w14:schemeClr w14:val="tx1"/>
            </w14:solidFill>
          </w14:textFill>
        </w:rPr>
        <w:t>22</w:t>
      </w:r>
      <w:r>
        <w:rPr>
          <w:rFonts w:hint="eastAsia" w:ascii="仿宋_GB2312" w:eastAsia="仿宋_GB2312"/>
          <w:color w:val="000000" w:themeColor="text1"/>
          <w:sz w:val="32"/>
          <w:szCs w:val="32"/>
          <w:highlight w:val="none"/>
          <w:lang w:val="en-US" w:eastAsia="zh-CN"/>
          <w14:textFill>
            <w14:solidFill>
              <w14:schemeClr w14:val="tx1"/>
            </w14:solidFill>
          </w14:textFill>
        </w:rPr>
        <w:t>个项目绩效自评结果。</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教育发展专项资金</w:t>
      </w:r>
      <w:r>
        <w:rPr>
          <w:rFonts w:hint="eastAsia" w:ascii="仿宋_GB2312" w:eastAsia="仿宋_GB2312"/>
          <w:color w:val="000000" w:themeColor="text1"/>
          <w:sz w:val="32"/>
          <w:szCs w:val="32"/>
          <w:highlight w:val="none"/>
          <w:lang w:val="en-US" w:eastAsia="zh-CN"/>
          <w14:textFill>
            <w14:solidFill>
              <w14:schemeClr w14:val="tx1"/>
            </w14:solidFill>
          </w14:textFill>
        </w:rPr>
        <w:t>项目绩效自评表：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000000"/>
          <w:sz w:val="32"/>
          <w:szCs w:val="32"/>
          <w:highlight w:val="none"/>
          <w:lang w:val="en-US" w:eastAsia="zh-CN"/>
        </w:rPr>
      </w:pPr>
      <w:r>
        <w:rPr>
          <w:rFonts w:hint="eastAsia" w:ascii="仿宋_GB2312" w:hAnsi="仿宋_GB2312" w:eastAsia="仿宋_GB2312" w:cs="仿宋_GB2312"/>
          <w:color w:val="000000" w:themeColor="text1"/>
          <w:sz w:val="32"/>
          <w:szCs w:val="32"/>
          <w14:textFill>
            <w14:solidFill>
              <w14:schemeClr w14:val="tx1"/>
            </w14:solidFill>
          </w14:textFill>
        </w:rPr>
        <w:t>教育发展专项资金</w:t>
      </w:r>
      <w:r>
        <w:rPr>
          <w:rFonts w:hint="eastAsia" w:ascii="仿宋_GB2312" w:eastAsia="仿宋_GB2312"/>
          <w:color w:val="000000" w:themeColor="text1"/>
          <w:sz w:val="32"/>
          <w:szCs w:val="32"/>
          <w:highlight w:val="none"/>
          <w:lang w:eastAsia="zh-CN"/>
          <w14:textFill>
            <w14:solidFill>
              <w14:schemeClr w14:val="tx1"/>
            </w14:solidFill>
          </w14:textFill>
        </w:rPr>
        <w:t>项目绩</w:t>
      </w:r>
      <w:r>
        <w:rPr>
          <w:rFonts w:hint="eastAsia" w:ascii="仿宋_GB2312" w:eastAsia="仿宋_GB2312"/>
          <w:color w:val="000000"/>
          <w:sz w:val="32"/>
          <w:szCs w:val="32"/>
          <w:highlight w:val="none"/>
          <w:lang w:eastAsia="zh-CN"/>
        </w:rPr>
        <w:t>效自评报告：</w:t>
      </w:r>
      <w:r>
        <w:rPr>
          <w:rFonts w:hint="eastAsia" w:ascii="仿宋_GB2312" w:eastAsia="仿宋_GB2312"/>
          <w:color w:val="000000"/>
          <w:sz w:val="32"/>
          <w:szCs w:val="32"/>
          <w:highlight w:val="none"/>
        </w:rPr>
        <w:t>根据年初设定的绩效目标，项目</w:t>
      </w:r>
      <w:r>
        <w:rPr>
          <w:rFonts w:hint="eastAsia" w:ascii="仿宋_GB2312" w:eastAsia="仿宋_GB2312"/>
          <w:color w:val="000000"/>
          <w:sz w:val="32"/>
          <w:szCs w:val="32"/>
          <w:highlight w:val="none"/>
          <w:lang w:eastAsia="zh-CN"/>
        </w:rPr>
        <w:t>绩效</w:t>
      </w:r>
      <w:r>
        <w:rPr>
          <w:rFonts w:hint="eastAsia" w:ascii="仿宋_GB2312" w:eastAsia="仿宋_GB2312"/>
          <w:color w:val="000000"/>
          <w:sz w:val="32"/>
          <w:szCs w:val="32"/>
          <w:highlight w:val="none"/>
        </w:rPr>
        <w:t>自评得分为</w:t>
      </w:r>
      <w:r>
        <w:rPr>
          <w:rFonts w:hint="eastAsia" w:ascii="仿宋_GB2312" w:eastAsia="仿宋_GB2312"/>
          <w:color w:val="000000"/>
          <w:sz w:val="32"/>
          <w:szCs w:val="32"/>
          <w:highlight w:val="none"/>
          <w:lang w:val="en-US" w:eastAsia="zh-CN"/>
        </w:rPr>
        <w:t>99.89</w:t>
      </w:r>
      <w:r>
        <w:rPr>
          <w:rFonts w:hint="eastAsia" w:ascii="仿宋_GB2312" w:eastAsia="仿宋_GB2312"/>
          <w:color w:val="000000"/>
          <w:sz w:val="32"/>
          <w:szCs w:val="32"/>
          <w:highlight w:val="none"/>
        </w:rPr>
        <w:t>分</w:t>
      </w:r>
      <w:r>
        <w:rPr>
          <w:rFonts w:hint="eastAsia" w:ascii="仿宋_GB2312" w:eastAsia="仿宋_GB2312"/>
          <w:color w:val="000000"/>
          <w:sz w:val="32"/>
          <w:szCs w:val="32"/>
          <w:highlight w:val="none"/>
          <w:lang w:eastAsia="zh-CN"/>
        </w:rPr>
        <w:t>。全年预算数为</w:t>
      </w:r>
      <w:r>
        <w:rPr>
          <w:rFonts w:hint="eastAsia" w:ascii="仿宋_GB2312" w:eastAsia="仿宋_GB2312"/>
          <w:color w:val="000000"/>
          <w:sz w:val="32"/>
          <w:szCs w:val="32"/>
          <w:highlight w:val="none"/>
          <w:lang w:val="en-US" w:eastAsia="zh-CN"/>
        </w:rPr>
        <w:t>27.23</w:t>
      </w:r>
      <w:r>
        <w:rPr>
          <w:rFonts w:hint="eastAsia" w:ascii="仿宋_GB2312" w:eastAsia="仿宋_GB2312"/>
          <w:color w:val="000000"/>
          <w:sz w:val="32"/>
          <w:szCs w:val="32"/>
          <w:highlight w:val="none"/>
          <w:lang w:eastAsia="zh-CN"/>
        </w:rPr>
        <w:t>万元，执行数为</w:t>
      </w:r>
      <w:r>
        <w:rPr>
          <w:rFonts w:hint="eastAsia" w:ascii="仿宋_GB2312" w:eastAsia="仿宋_GB2312"/>
          <w:color w:val="000000"/>
          <w:sz w:val="32"/>
          <w:szCs w:val="32"/>
          <w:highlight w:val="none"/>
          <w:lang w:val="en-US" w:eastAsia="zh-CN"/>
        </w:rPr>
        <w:t>26.93</w:t>
      </w:r>
      <w:r>
        <w:rPr>
          <w:rFonts w:hint="eastAsia" w:ascii="仿宋_GB2312" w:eastAsia="仿宋_GB2312"/>
          <w:color w:val="000000"/>
          <w:sz w:val="32"/>
          <w:szCs w:val="32"/>
          <w:highlight w:val="none"/>
          <w:lang w:eastAsia="zh-CN"/>
        </w:rPr>
        <w:t>万元，完成预算的</w:t>
      </w:r>
      <w:r>
        <w:rPr>
          <w:rFonts w:hint="eastAsia" w:ascii="仿宋_GB2312" w:eastAsia="仿宋_GB2312"/>
          <w:color w:val="000000"/>
          <w:sz w:val="32"/>
          <w:szCs w:val="32"/>
          <w:highlight w:val="none"/>
          <w:lang w:val="en-US" w:eastAsia="zh-CN"/>
        </w:rPr>
        <w:t>98.88%。项目绩效目标完成情况：</w:t>
      </w:r>
      <w:r>
        <w:rPr>
          <w:rFonts w:hint="eastAsia" w:ascii="仿宋_GB2312" w:hAnsi="仿宋_GB2312" w:eastAsia="仿宋_GB2312" w:cs="仿宋_GB2312"/>
          <w:color w:val="000000"/>
          <w:sz w:val="32"/>
          <w:szCs w:val="32"/>
          <w:highlight w:val="none"/>
          <w:lang w:val="en-US" w:eastAsia="zh-CN"/>
        </w:rPr>
        <w:t>一是</w:t>
      </w:r>
      <w:r>
        <w:rPr>
          <w:rFonts w:hint="eastAsia" w:ascii="仿宋_GB2312" w:hAnsi="仿宋_GB2312" w:eastAsia="仿宋_GB2312" w:cs="仿宋_GB2312"/>
          <w:sz w:val="32"/>
          <w:szCs w:val="32"/>
        </w:rPr>
        <w:t>已完成发放临聘人员工资社保</w:t>
      </w:r>
      <w:r>
        <w:rPr>
          <w:rFonts w:hint="eastAsia" w:ascii="仿宋_GB2312" w:hAnsi="仿宋_GB2312" w:eastAsia="仿宋_GB2312" w:cs="仿宋_GB2312"/>
          <w:sz w:val="32"/>
          <w:szCs w:val="32"/>
          <w:lang w:val="en-US" w:eastAsia="zh-CN"/>
        </w:rPr>
        <w:t>162108.37</w:t>
      </w:r>
      <w:r>
        <w:rPr>
          <w:rFonts w:hint="eastAsia" w:ascii="仿宋_GB2312" w:hAnsi="仿宋_GB2312" w:eastAsia="仿宋_GB2312" w:cs="仿宋_GB2312"/>
          <w:sz w:val="32"/>
          <w:szCs w:val="32"/>
        </w:rPr>
        <w:t>元</w:t>
      </w:r>
      <w:r>
        <w:rPr>
          <w:rFonts w:hint="eastAsia" w:ascii="仿宋_GB2312" w:hAnsi="仿宋_GB2312" w:eastAsia="仿宋_GB2312" w:cs="仿宋_GB2312"/>
          <w:color w:val="000000"/>
          <w:sz w:val="32"/>
          <w:szCs w:val="32"/>
          <w:highlight w:val="none"/>
          <w:lang w:val="en-US" w:eastAsia="zh-CN"/>
        </w:rPr>
        <w:t>；二是</w:t>
      </w:r>
      <w:r>
        <w:rPr>
          <w:rFonts w:hint="eastAsia" w:ascii="仿宋_GB2312" w:hAnsi="仿宋_GB2312" w:eastAsia="仿宋_GB2312" w:cs="仿宋_GB2312"/>
          <w:sz w:val="32"/>
          <w:szCs w:val="32"/>
          <w:lang w:val="en-US" w:eastAsia="zh-CN"/>
        </w:rPr>
        <w:t>开展课后服务活动</w:t>
      </w:r>
      <w:r>
        <w:rPr>
          <w:rFonts w:hint="eastAsia" w:ascii="仿宋_GB2312" w:hAnsi="仿宋_GB2312" w:eastAsia="仿宋_GB2312" w:cs="仿宋_GB2312"/>
          <w:sz w:val="32"/>
          <w:szCs w:val="32"/>
        </w:rPr>
        <w:t>费</w:t>
      </w:r>
      <w:r>
        <w:rPr>
          <w:rFonts w:hint="eastAsia" w:ascii="仿宋_GB2312" w:hAnsi="仿宋_GB2312" w:eastAsia="仿宋_GB2312" w:cs="仿宋_GB2312"/>
          <w:sz w:val="32"/>
          <w:szCs w:val="32"/>
          <w:lang w:val="en-US" w:eastAsia="zh-CN"/>
        </w:rPr>
        <w:t>90825</w:t>
      </w:r>
      <w:r>
        <w:rPr>
          <w:rFonts w:hint="eastAsia" w:ascii="仿宋_GB2312" w:hAnsi="仿宋_GB2312" w:eastAsia="仿宋_GB2312" w:cs="仿宋_GB2312"/>
          <w:sz w:val="32"/>
          <w:szCs w:val="32"/>
        </w:rPr>
        <w:t>元</w:t>
      </w:r>
      <w:r>
        <w:rPr>
          <w:rFonts w:hint="eastAsia" w:ascii="仿宋_GB2312" w:hAnsi="仿宋_GB2312" w:eastAsia="仿宋_GB2312" w:cs="仿宋_GB2312"/>
          <w:color w:val="000000"/>
          <w:sz w:val="32"/>
          <w:szCs w:val="32"/>
          <w:highlight w:val="none"/>
          <w:lang w:val="en-US" w:eastAsia="zh-CN"/>
        </w:rPr>
        <w:t>。发现的主要问题及原因：</w:t>
      </w:r>
      <w:r>
        <w:rPr>
          <w:rFonts w:hint="eastAsia" w:ascii="仿宋_GB2312" w:hAnsi="仿宋_GB2312" w:eastAsia="仿宋_GB2312" w:cs="仿宋_GB2312"/>
          <w:kern w:val="0"/>
          <w:sz w:val="32"/>
          <w:szCs w:val="32"/>
        </w:rPr>
        <w:t>2022年该项目预算执行为</w:t>
      </w:r>
      <w:r>
        <w:rPr>
          <w:rFonts w:hint="eastAsia" w:ascii="仿宋_GB2312" w:eastAsia="仿宋_GB2312"/>
          <w:color w:val="000000"/>
          <w:sz w:val="32"/>
          <w:szCs w:val="32"/>
          <w:highlight w:val="none"/>
          <w:lang w:val="en-US" w:eastAsia="zh-CN"/>
        </w:rPr>
        <w:t>98.88%</w:t>
      </w:r>
      <w:r>
        <w:rPr>
          <w:rFonts w:hint="eastAsia" w:ascii="仿宋_GB2312" w:hAnsi="仿宋_GB2312" w:eastAsia="仿宋_GB2312" w:cs="仿宋_GB2312"/>
          <w:kern w:val="0"/>
          <w:sz w:val="32"/>
          <w:szCs w:val="32"/>
        </w:rPr>
        <w:t>，距离目标还有些差距，主要原因是财政预算指标下达时间较晚，受新冠疫情影响财政性资金紧张，压减开支，该项目结余资金于11月底财政全部回收，故该项目未完成年度计划绩效目标。</w:t>
      </w:r>
      <w:r>
        <w:rPr>
          <w:rFonts w:hint="eastAsia" w:ascii="仿宋_GB2312" w:hAnsi="仿宋_GB2312" w:eastAsia="仿宋_GB2312" w:cs="仿宋_GB2312"/>
          <w:color w:val="000000"/>
          <w:sz w:val="32"/>
          <w:szCs w:val="32"/>
          <w:highlight w:val="none"/>
          <w:lang w:val="en-US" w:eastAsia="zh-CN"/>
        </w:rPr>
        <w:t>下一步改进措施：</w:t>
      </w:r>
      <w:r>
        <w:rPr>
          <w:rFonts w:hint="eastAsia" w:ascii="仿宋_GB2312" w:hAnsi="仿宋_GB2312" w:eastAsia="仿宋_GB2312" w:cs="仿宋_GB2312"/>
          <w:color w:val="000000"/>
          <w:kern w:val="0"/>
          <w:sz w:val="32"/>
          <w:szCs w:val="32"/>
        </w:rPr>
        <w:t>加强绩效自评结果应用，结合单位的实际情况，</w:t>
      </w:r>
      <w:r>
        <w:rPr>
          <w:rFonts w:hint="eastAsia" w:ascii="仿宋_GB2312" w:hAnsi="仿宋_GB2312" w:eastAsia="仿宋_GB2312" w:cs="仿宋_GB2312"/>
          <w:kern w:val="0"/>
          <w:sz w:val="32"/>
          <w:szCs w:val="32"/>
        </w:rPr>
        <w:t>合理设置项目绩效指标，细化更加符合单位项目绩效目标。</w:t>
      </w:r>
      <w:r>
        <w:rPr>
          <w:rFonts w:hint="eastAsia" w:ascii="仿宋_GB2312" w:hAnsi="仿宋_GB2312" w:eastAsia="仿宋_GB2312" w:cs="仿宋_GB2312"/>
          <w:color w:val="000000"/>
          <w:kern w:val="0"/>
          <w:sz w:val="32"/>
          <w:szCs w:val="32"/>
        </w:rPr>
        <w:t>按月、按季度开展预算项目执行会议通报工作，促进项目预算执行管理工作按计划目标方向实施开展</w:t>
      </w:r>
      <w:r>
        <w:rPr>
          <w:rFonts w:hint="eastAsia" w:ascii="仿宋_GB2312" w:eastAsia="仿宋_GB2312"/>
          <w:color w:val="000000"/>
          <w:sz w:val="32"/>
          <w:szCs w:val="32"/>
          <w:highlight w:val="none"/>
          <w:lang w:val="en-US"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 w:val="0"/>
          <w:bCs/>
          <w:color w:val="000000"/>
          <w:sz w:val="32"/>
          <w:szCs w:val="32"/>
          <w:highlight w:val="none"/>
        </w:rPr>
      </w:pPr>
      <w:r>
        <w:rPr>
          <w:rFonts w:hint="eastAsia" w:ascii="楷体" w:hAnsi="楷体" w:eastAsia="楷体" w:cs="楷体"/>
          <w:b w:val="0"/>
          <w:bCs/>
          <w:color w:val="000000"/>
          <w:sz w:val="32"/>
          <w:szCs w:val="32"/>
          <w:highlight w:val="none"/>
          <w:lang w:eastAsia="zh-CN"/>
        </w:rPr>
        <w:t>（三）</w:t>
      </w:r>
      <w:r>
        <w:rPr>
          <w:rFonts w:hint="eastAsia" w:ascii="楷体" w:hAnsi="楷体" w:eastAsia="楷体" w:cs="楷体"/>
          <w:b w:val="0"/>
          <w:bCs/>
          <w:color w:val="000000"/>
          <w:sz w:val="32"/>
          <w:szCs w:val="32"/>
          <w:highlight w:val="none"/>
          <w:lang w:val="en-US"/>
        </w:rPr>
        <w:t>部门评价结果</w:t>
      </w:r>
      <w:r>
        <w:rPr>
          <w:rFonts w:hint="eastAsia" w:ascii="楷体" w:hAnsi="楷体" w:eastAsia="楷体" w:cs="楷体"/>
          <w:b w:val="0"/>
          <w:bCs/>
          <w:color w:val="000000"/>
          <w:sz w:val="32"/>
          <w:szCs w:val="32"/>
          <w:highlight w:val="none"/>
          <w:lang w:val="en-US" w:eastAsia="zh-CN"/>
        </w:rPr>
        <w:t>（预算部门填写，部门所属单位不需填写）</w:t>
      </w:r>
      <w:r>
        <w:rPr>
          <w:rFonts w:hint="eastAsia" w:ascii="楷体" w:hAnsi="楷体" w:eastAsia="楷体" w:cs="楷体"/>
          <w:b w:val="0"/>
          <w:bCs/>
          <w:color w:val="000000"/>
          <w:sz w:val="32"/>
          <w:szCs w:val="32"/>
          <w:highlight w:val="none"/>
          <w:u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highlight w:val="none"/>
          <w:lang w:val="en-US" w:eastAsia="zh-CN" w:bidi="ar"/>
        </w:rPr>
      </w:pPr>
      <w:r>
        <w:rPr>
          <w:rFonts w:hint="eastAsia" w:ascii="仿宋_GB2312" w:hAnsi="仿宋_GB2312" w:eastAsia="仿宋_GB2312" w:cs="仿宋_GB2312"/>
          <w:color w:val="000000"/>
          <w:kern w:val="0"/>
          <w:sz w:val="32"/>
          <w:szCs w:val="32"/>
          <w:highlight w:val="none"/>
          <w:lang w:val="en-US" w:eastAsia="zh-CN" w:bidi="ar"/>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 w:val="0"/>
          <w:bCs/>
          <w:color w:val="000000"/>
          <w:sz w:val="32"/>
          <w:szCs w:val="32"/>
          <w:highlight w:val="none"/>
        </w:rPr>
      </w:pPr>
      <w:r>
        <w:rPr>
          <w:rFonts w:hint="eastAsia" w:ascii="楷体" w:hAnsi="楷体" w:eastAsia="楷体" w:cs="楷体"/>
          <w:b w:val="0"/>
          <w:bCs/>
          <w:color w:val="000000"/>
          <w:sz w:val="32"/>
          <w:szCs w:val="32"/>
          <w:highlight w:val="none"/>
          <w:lang w:eastAsia="zh-CN"/>
        </w:rPr>
        <w:t>（四）财政评价结果</w:t>
      </w:r>
      <w:r>
        <w:rPr>
          <w:rFonts w:hint="eastAsia" w:ascii="楷体" w:hAnsi="楷体" w:eastAsia="楷体" w:cs="楷体"/>
          <w:b w:val="0"/>
          <w:bCs/>
          <w:color w:val="000000"/>
          <w:sz w:val="32"/>
          <w:szCs w:val="32"/>
          <w:highlight w:val="none"/>
        </w:rPr>
        <w:t>（如有）。</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000000"/>
          <w:sz w:val="32"/>
          <w:szCs w:val="32"/>
          <w:highlight w:val="none"/>
          <w:lang w:val="zh-CN"/>
        </w:rPr>
      </w:pPr>
      <w:r>
        <w:rPr>
          <w:rFonts w:hint="eastAsia" w:ascii="仿宋_GB2312" w:eastAsia="仿宋_GB2312"/>
          <w:color w:val="000000"/>
          <w:sz w:val="32"/>
          <w:szCs w:val="32"/>
          <w:highlight w:val="none"/>
          <w:lang w:val="zh-CN"/>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Cs/>
          <w:color w:val="000000"/>
          <w:sz w:val="32"/>
          <w:szCs w:val="32"/>
          <w:highlight w:val="none"/>
        </w:rPr>
      </w:pPr>
      <w:r>
        <w:rPr>
          <w:rFonts w:hint="eastAsia" w:ascii="黑体" w:hAnsi="黑体" w:eastAsia="黑体" w:cs="黑体"/>
          <w:bCs/>
          <w:color w:val="000000"/>
          <w:sz w:val="32"/>
          <w:szCs w:val="32"/>
          <w:highlight w:val="none"/>
        </w:rPr>
        <w:t>十一、其他重要事项情况说明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Cs/>
          <w:color w:val="000000"/>
          <w:sz w:val="32"/>
          <w:szCs w:val="32"/>
          <w:highlight w:val="none"/>
        </w:rPr>
      </w:pPr>
      <w:bookmarkStart w:id="83" w:name="_Toc15262_WPSOffice_Level2"/>
      <w:bookmarkStart w:id="84" w:name="_Toc32639_WPSOffice_Level2"/>
      <w:bookmarkStart w:id="85" w:name="_Toc23598_WPSOffice_Level2"/>
      <w:bookmarkStart w:id="86" w:name="_Toc18325_WPSOffice_Level2"/>
      <w:bookmarkStart w:id="87" w:name="_Toc15565_WPSOffice_Level2"/>
      <w:bookmarkStart w:id="88" w:name="_Toc5978_WPSOffice_Level2"/>
      <w:r>
        <w:rPr>
          <w:rFonts w:hint="eastAsia" w:ascii="楷体" w:hAnsi="楷体" w:eastAsia="楷体" w:cs="楷体"/>
          <w:bCs/>
          <w:color w:val="000000"/>
          <w:sz w:val="32"/>
          <w:szCs w:val="32"/>
          <w:highlight w:val="none"/>
        </w:rPr>
        <w:t>（一）机关运行经费支出情况。</w:t>
      </w:r>
      <w:bookmarkEnd w:id="83"/>
      <w:bookmarkEnd w:id="84"/>
      <w:bookmarkEnd w:id="85"/>
      <w:bookmarkEnd w:id="86"/>
      <w:bookmarkEnd w:id="87"/>
      <w:bookmarkEnd w:id="88"/>
    </w:p>
    <w:p>
      <w:pPr>
        <w:ind w:firstLine="640" w:firstLineChars="200"/>
      </w:pPr>
      <w:r>
        <w:rPr>
          <w:rFonts w:hint="eastAsia" w:ascii="仿宋_GB2312" w:hAnsi="ˎ̥" w:eastAsia="仿宋_GB2312"/>
          <w:color w:val="000000"/>
          <w:sz w:val="32"/>
          <w:szCs w:val="32"/>
          <w:highlight w:val="none"/>
        </w:rPr>
        <w:t>2022年度</w:t>
      </w:r>
      <w:r>
        <w:rPr>
          <w:rFonts w:hint="eastAsia" w:ascii="仿宋_GB2312" w:hAnsi="ˎ̥" w:eastAsia="仿宋_GB2312"/>
          <w:color w:val="000000"/>
          <w:sz w:val="32"/>
          <w:szCs w:val="32"/>
          <w:highlight w:val="none"/>
          <w:lang w:eastAsia="zh-CN"/>
        </w:rPr>
        <w:t>三亚市育才</w:t>
      </w:r>
      <w:r>
        <w:rPr>
          <w:rFonts w:hint="eastAsia" w:ascii="仿宋_GB2312" w:hAnsi="ˎ̥" w:eastAsia="仿宋_GB2312"/>
          <w:color w:val="000000"/>
          <w:sz w:val="32"/>
          <w:szCs w:val="32"/>
          <w:highlight w:val="none"/>
          <w:lang w:val="en-US" w:eastAsia="zh-CN"/>
        </w:rPr>
        <w:t>雅林</w:t>
      </w:r>
      <w:r>
        <w:rPr>
          <w:rFonts w:hint="eastAsia" w:ascii="仿宋_GB2312" w:hAnsi="ˎ̥" w:eastAsia="仿宋_GB2312"/>
          <w:color w:val="000000"/>
          <w:sz w:val="32"/>
          <w:szCs w:val="32"/>
          <w:highlight w:val="none"/>
          <w:lang w:eastAsia="zh-CN"/>
        </w:rPr>
        <w:t>小学</w:t>
      </w:r>
      <w:r>
        <w:rPr>
          <w:rFonts w:hint="eastAsia" w:ascii="仿宋_GB2312" w:hAnsi="ˎ̥" w:eastAsia="仿宋_GB2312"/>
          <w:color w:val="000000"/>
          <w:sz w:val="32"/>
          <w:szCs w:val="32"/>
          <w:highlight w:val="none"/>
        </w:rPr>
        <w:t>机关运行经费</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万元（为部门决算中行政单位和参公事业单位财政拨款基本支出中公用经费支出之和，事业单位没有机关运行经费支出），比年初预算增加</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万元，增长</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%。主要原因是：</w:t>
      </w:r>
      <w:r>
        <w:rPr>
          <w:rFonts w:hint="eastAsia" w:ascii="仿宋_GB2312" w:hAnsi="仿宋_GB2312" w:eastAsia="仿宋_GB2312" w:cs="仿宋_GB2312"/>
          <w:color w:val="000000"/>
          <w:sz w:val="32"/>
          <w:szCs w:val="32"/>
          <w:highlight w:val="none"/>
          <w:lang w:eastAsia="zh-CN" w:bidi="ar"/>
        </w:rPr>
        <w:t>无</w:t>
      </w:r>
      <w:r>
        <w:rPr>
          <w:rFonts w:hint="eastAsia" w:ascii="仿宋_GB2312" w:hAnsi="仿宋_GB2312" w:eastAsia="仿宋_GB2312" w:cs="仿宋_GB2312"/>
          <w:bCs/>
          <w:color w:val="000000"/>
          <w:sz w:val="32"/>
          <w:szCs w:val="32"/>
          <w:highlight w:val="none"/>
        </w:rPr>
        <w:t>机关运行经费支出</w:t>
      </w:r>
      <w:r>
        <w:rPr>
          <w:rFonts w:hint="eastAsia" w:ascii="仿宋_GB2312" w:hAnsi="仿宋_GB2312" w:eastAsia="仿宋_GB2312" w:cs="仿宋_GB2312"/>
          <w:color w:val="00000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Cs/>
          <w:color w:val="000000"/>
          <w:sz w:val="32"/>
          <w:szCs w:val="32"/>
          <w:highlight w:val="none"/>
        </w:rPr>
      </w:pPr>
      <w:bookmarkStart w:id="89" w:name="_Toc32689_WPSOffice_Level2"/>
      <w:bookmarkStart w:id="90" w:name="_Toc13084_WPSOffice_Level2"/>
      <w:bookmarkStart w:id="91" w:name="_Toc23966_WPSOffice_Level2"/>
      <w:bookmarkStart w:id="92" w:name="_Toc3131_WPSOffice_Level2"/>
      <w:bookmarkStart w:id="93" w:name="_Toc25333_WPSOffice_Level2"/>
      <w:bookmarkStart w:id="94" w:name="_Toc30383_WPSOffice_Level2"/>
      <w:r>
        <w:rPr>
          <w:rFonts w:hint="eastAsia" w:ascii="楷体" w:hAnsi="楷体" w:eastAsia="楷体" w:cs="楷体"/>
          <w:bCs/>
          <w:color w:val="000000"/>
          <w:sz w:val="32"/>
          <w:szCs w:val="32"/>
          <w:highlight w:val="none"/>
        </w:rPr>
        <w:t>（二）政府采购支出情况。</w:t>
      </w:r>
      <w:bookmarkEnd w:id="89"/>
      <w:bookmarkEnd w:id="90"/>
      <w:bookmarkEnd w:id="91"/>
      <w:bookmarkEnd w:id="92"/>
      <w:bookmarkEnd w:id="93"/>
      <w:bookmarkEnd w:id="9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Cs/>
          <w:color w:val="000000"/>
          <w:sz w:val="32"/>
          <w:szCs w:val="32"/>
          <w:highlight w:val="none"/>
        </w:rPr>
      </w:pPr>
      <w:r>
        <w:rPr>
          <w:rFonts w:hint="eastAsia" w:ascii="仿宋_GB2312" w:hAnsi="ˎ̥" w:eastAsia="仿宋_GB2312"/>
          <w:color w:val="000000"/>
          <w:sz w:val="32"/>
          <w:szCs w:val="32"/>
          <w:highlight w:val="none"/>
        </w:rPr>
        <w:t>2022年度</w:t>
      </w:r>
      <w:r>
        <w:rPr>
          <w:rFonts w:hint="eastAsia" w:ascii="仿宋_GB2312" w:hAnsi="ˎ̥" w:eastAsia="仿宋_GB2312"/>
          <w:color w:val="000000"/>
          <w:sz w:val="32"/>
          <w:szCs w:val="32"/>
          <w:highlight w:val="none"/>
          <w:lang w:eastAsia="zh-CN"/>
        </w:rPr>
        <w:t>三亚市育才</w:t>
      </w:r>
      <w:r>
        <w:rPr>
          <w:rFonts w:hint="eastAsia" w:ascii="仿宋_GB2312" w:hAnsi="ˎ̥" w:eastAsia="仿宋_GB2312"/>
          <w:color w:val="000000"/>
          <w:sz w:val="32"/>
          <w:szCs w:val="32"/>
          <w:highlight w:val="none"/>
          <w:lang w:val="en-US" w:eastAsia="zh-CN"/>
        </w:rPr>
        <w:t>雅林</w:t>
      </w:r>
      <w:r>
        <w:rPr>
          <w:rFonts w:hint="eastAsia" w:ascii="仿宋_GB2312" w:hAnsi="ˎ̥" w:eastAsia="仿宋_GB2312"/>
          <w:color w:val="000000"/>
          <w:sz w:val="32"/>
          <w:szCs w:val="32"/>
          <w:highlight w:val="none"/>
          <w:lang w:eastAsia="zh-CN"/>
        </w:rPr>
        <w:t>小学</w:t>
      </w:r>
      <w:r>
        <w:rPr>
          <w:rFonts w:hint="eastAsia" w:ascii="仿宋_GB2312" w:hAnsi="ˎ̥" w:eastAsia="仿宋_GB2312"/>
          <w:color w:val="000000"/>
          <w:sz w:val="32"/>
          <w:szCs w:val="32"/>
          <w:highlight w:val="none"/>
        </w:rPr>
        <w:t>政府采购支出总额</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万元，其中：政府采购货物支出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万元、政府采购工程支出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万元、政府采购服务支出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万元。授予中小企业合同金额</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万元，占政府采购支出总额的</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%，其中：授予小微企业合同金额</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万元，占</w:t>
      </w:r>
      <w:r>
        <w:rPr>
          <w:rFonts w:hint="eastAsia" w:ascii="仿宋_GB2312" w:hAnsi="仿宋_GB2312" w:eastAsia="仿宋_GB2312" w:cs="仿宋_GB2312"/>
          <w:color w:val="000000"/>
          <w:kern w:val="0"/>
          <w:sz w:val="32"/>
          <w:szCs w:val="32"/>
          <w:highlight w:val="none"/>
          <w:lang w:bidi="ar"/>
        </w:rPr>
        <w:t>授予中小企业合同金额</w:t>
      </w:r>
      <w:r>
        <w:rPr>
          <w:rFonts w:hint="eastAsia" w:ascii="仿宋_GB2312" w:hAnsi="仿宋_GB2312" w:eastAsia="仿宋_GB2312" w:cs="仿宋_GB2312"/>
          <w:color w:val="000000"/>
          <w:sz w:val="32"/>
          <w:szCs w:val="32"/>
          <w:highlight w:val="none"/>
        </w:rPr>
        <w:t>的</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w:t>
      </w:r>
      <w:r>
        <w:rPr>
          <w:rFonts w:hint="eastAsia" w:ascii="仿宋_GB2312" w:hAnsi="仿宋_GB2312" w:eastAsia="仿宋_GB2312" w:cs="仿宋_GB2312"/>
          <w:color w:val="auto"/>
          <w:kern w:val="0"/>
          <w:sz w:val="32"/>
          <w:szCs w:val="32"/>
          <w:highlight w:val="none"/>
          <w:lang w:eastAsia="zh-CN"/>
        </w:rPr>
        <w:t>。</w:t>
      </w:r>
      <w:bookmarkStart w:id="95" w:name="_Toc15129_WPSOffice_Level2"/>
      <w:bookmarkStart w:id="96" w:name="_Toc10902_WPSOffice_Level2"/>
      <w:bookmarkStart w:id="97" w:name="_Toc19989_WPSOffice_Level2"/>
      <w:bookmarkStart w:id="98" w:name="_Toc6016_WPSOffice_Level2"/>
      <w:bookmarkStart w:id="99" w:name="_Toc29584_WPSOffice_Level2"/>
      <w:bookmarkStart w:id="100" w:name="_Toc527_WPSOffice_Level2"/>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Cs/>
          <w:color w:val="000000"/>
          <w:sz w:val="32"/>
          <w:szCs w:val="32"/>
          <w:highlight w:val="none"/>
        </w:rPr>
      </w:pPr>
      <w:r>
        <w:rPr>
          <w:rFonts w:hint="eastAsia" w:ascii="楷体" w:hAnsi="楷体" w:eastAsia="楷体" w:cs="楷体"/>
          <w:bCs/>
          <w:color w:val="000000"/>
          <w:sz w:val="32"/>
          <w:szCs w:val="32"/>
          <w:highlight w:val="none"/>
        </w:rPr>
        <w:t>（三）国有资产占用情况。</w:t>
      </w:r>
      <w:bookmarkEnd w:id="95"/>
      <w:bookmarkEnd w:id="96"/>
      <w:bookmarkEnd w:id="97"/>
      <w:bookmarkEnd w:id="98"/>
      <w:bookmarkEnd w:id="99"/>
      <w:bookmarkEnd w:id="10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bCs/>
          <w:color w:val="000000"/>
          <w:sz w:val="32"/>
          <w:szCs w:val="32"/>
          <w:highlight w:val="none"/>
        </w:rPr>
        <w:t>截至2022年12月31日，本部门拥有</w:t>
      </w:r>
      <w:r>
        <w:rPr>
          <w:rFonts w:hint="eastAsia" w:ascii="仿宋_GB2312" w:hAnsi="ˎ̥" w:eastAsia="仿宋_GB2312"/>
          <w:color w:val="000000"/>
          <w:sz w:val="32"/>
          <w:szCs w:val="32"/>
          <w:highlight w:val="none"/>
        </w:rPr>
        <w:t>房屋面积</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平方米，其中：办公用房</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平方米，业务用房</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平方米，其他</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平方米。</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本部门共有车辆</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辆，其中，副部（省）级及以上领导用车</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辆、主要领导干部用车</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辆、机要通信用车</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辆、应急保障用车</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辆、执法执勤用车</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辆、特种专业技术用车</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辆、离退休干部用车</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辆、其他用车</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辆，</w:t>
      </w:r>
      <w:r>
        <w:rPr>
          <w:rFonts w:hint="eastAsia" w:ascii="仿宋_GB2312" w:hAnsi="ˎ̥" w:eastAsia="仿宋_GB2312"/>
          <w:color w:val="000000"/>
          <w:sz w:val="32"/>
          <w:szCs w:val="32"/>
          <w:highlight w:val="none"/>
          <w:lang w:eastAsia="zh-CN"/>
        </w:rPr>
        <w:t>无</w:t>
      </w:r>
      <w:r>
        <w:rPr>
          <w:rFonts w:hint="eastAsia" w:ascii="仿宋_GB2312" w:hAnsi="ˎ̥" w:eastAsia="仿宋_GB2312"/>
          <w:color w:val="000000"/>
          <w:sz w:val="32"/>
          <w:szCs w:val="32"/>
          <w:highlight w:val="none"/>
        </w:rPr>
        <w:t>其他用车。单价100万元（含）以上设备（不含车辆）</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台（套）。</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年末在建工程</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000000"/>
          <w:sz w:val="32"/>
          <w:szCs w:val="32"/>
          <w:highlight w:val="none"/>
        </w:rPr>
      </w:pPr>
      <w:bookmarkStart w:id="101" w:name="_Toc4398_WPSOffice_Level1"/>
      <w:bookmarkStart w:id="102" w:name="_Toc8808_WPSOffice_Level1"/>
      <w:bookmarkStart w:id="103" w:name="_Toc11039_WPSOffice_Level1"/>
      <w:bookmarkStart w:id="104" w:name="_Toc15425_WPSOffice_Level1"/>
      <w:bookmarkStart w:id="105" w:name="_Toc17580_WPSOffice_Level1"/>
      <w:bookmarkStart w:id="106" w:name="_Toc8874_WPSOffice_Level1"/>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000000"/>
          <w:sz w:val="32"/>
          <w:szCs w:val="32"/>
          <w:highlight w:val="none"/>
        </w:rPr>
      </w:pPr>
      <w:r>
        <w:rPr>
          <w:rFonts w:hint="eastAsia" w:ascii="黑体" w:hAnsi="ˎ̥" w:eastAsia="黑体"/>
          <w:color w:val="000000"/>
          <w:sz w:val="32"/>
          <w:szCs w:val="32"/>
          <w:highlight w:val="none"/>
        </w:rPr>
        <w:t>第四部分  名词解释</w:t>
      </w:r>
      <w:bookmarkEnd w:id="101"/>
      <w:bookmarkEnd w:id="102"/>
      <w:bookmarkEnd w:id="103"/>
      <w:bookmarkEnd w:id="104"/>
      <w:bookmarkEnd w:id="105"/>
      <w:bookmarkEnd w:id="106"/>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000000"/>
          <w:sz w:val="32"/>
          <w:szCs w:val="32"/>
          <w:highlight w:val="none"/>
        </w:rPr>
      </w:pPr>
    </w:p>
    <w:p>
      <w:pPr>
        <w:keepNext w:val="0"/>
        <w:keepLines w:val="0"/>
        <w:pageBreakBefore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财政拨款收入：指同级政府财政部门当年拨付的各类财政拨款。</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二、上级补助收入：指事业单位从主管部门和上级单位取得的非财政补助收入。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三、事业收入：指事业单位开展专业业务活动及辅助活动取得的收入。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四、经营收入：指事业单位在专业业务活动及其辅助活动之外开展非独立核算经营活动取得的收入。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五、附属单位上缴收入：指事业单位取得附属独立核算单位根据有关规定上缴的收入。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六、其他收入：指除上述“财政拨款收入”“事业收入”“上级补助收入”“经营收入”“附属单位上缴收入”等以外的收入。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七、使用非财政拨款结余：指事业单位在当年的“财政拨款收入”“事业收入”“经营收入”“其他收入”等不足以安排当年支出的情况下，使用非同级财政拨款结余资金弥补本年度收支缺口。</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八、年初结转和结余：指以前年度尚未完成、结转到本年按有关规定继续使用的资金，或项目已完成等产生的结余资金。</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九、结余分配：指事业单位缴纳企业所得税以及从非财政拨款结余或经营结余中提取各类结余的情况。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十、年末结转和结余：指本年度或以前年度预算安排、因客观条件发生变化无法按原计划实施，需要延迟到以后年度按有关规定继续使用的资金（不包括事业单位非财政拨款结余和专用结余）。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十一、基本支出：指为保障机构正常运转、完成日常工作任务而发生的人员支出和公用支出。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十二、项目支出：指在基本支出之外为完成特定行政任务和事业发展目标所发生的支出。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十三、经营支出：指事业单位在专业业务活动及其辅助活动之外开展非独立核算经营活动发生的支出。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十四、“三公”经费：纳入本级财政预决算管理的“三公”经费，是指用一般公共预算财政拨款、政府性基金预算财政拨款及国有资本经营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及燃料费、维修费、过路过桥费、保险费、安全奖励费用等支出；公务接待费反映单位按规定开支的各类公务接待（含外宾接待）费用。</w:t>
      </w:r>
    </w:p>
    <w:p>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十五、机关运行经费：为保障行政单位（含参照公务员法管理的事业单位）运行使用一般公共预算财政拨款安排的基本支出经费用于购买货物和服务的各项资金，包括办公及印刷费、邮电费、差旅费、会议费、福利费、日常维修费、专用材料及一般设备购置费、办公用房水电费、办公用房取暖费、办公用房物业管理费、公务用车运行维护费以及其他费用等。</w:t>
      </w:r>
    </w:p>
    <w:p>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（注</w:t>
      </w:r>
      <w:r>
        <w:rPr>
          <w:rFonts w:ascii="仿宋_GB2312" w:hAnsi="ˎ̥" w:eastAsia="仿宋_GB2312"/>
          <w:color w:val="000000"/>
          <w:sz w:val="32"/>
          <w:szCs w:val="32"/>
          <w:highlight w:val="none"/>
        </w:rPr>
        <w:t>：</w:t>
      </w:r>
      <w:r>
        <w:rPr>
          <w:rFonts w:hint="eastAsia" w:ascii="仿宋_GB2312" w:hAnsi="ˎ̥" w:eastAsia="仿宋_GB2312"/>
          <w:color w:val="000000"/>
          <w:sz w:val="32"/>
          <w:szCs w:val="32"/>
          <w:highlight w:val="none"/>
        </w:rPr>
        <w:t>支出功能分类的名词解释，各部门（单位）根据实际支出情况填列，可参阅财政部印发的《202</w:t>
      </w:r>
      <w:r>
        <w:rPr>
          <w:rFonts w:ascii="仿宋_GB2312" w:hAnsi="ˎ̥" w:eastAsia="仿宋_GB2312"/>
          <w:color w:val="000000"/>
          <w:sz w:val="32"/>
          <w:szCs w:val="32"/>
          <w:highlight w:val="none"/>
        </w:rPr>
        <w:t>2</w:t>
      </w:r>
      <w:r>
        <w:rPr>
          <w:rFonts w:hint="eastAsia" w:ascii="仿宋_GB2312" w:hAnsi="ˎ̥" w:eastAsia="仿宋_GB2312"/>
          <w:color w:val="000000"/>
          <w:sz w:val="32"/>
          <w:szCs w:val="32"/>
          <w:highlight w:val="none"/>
        </w:rPr>
        <w:t>年政府收支分类科目》）</w:t>
      </w:r>
    </w:p>
    <w:p>
      <w:pPr>
        <w:keepNext w:val="0"/>
        <w:keepLines w:val="0"/>
        <w:pageBreakBefore w:val="0"/>
        <w:kinsoku/>
        <w:wordWrap/>
        <w:overflowPunct/>
        <w:topLinePunct w:val="0"/>
        <w:autoSpaceDE/>
        <w:autoSpaceDN/>
        <w:bidi w:val="0"/>
        <w:adjustRightInd/>
        <w:snapToGrid/>
        <w:spacing w:line="560" w:lineRule="exact"/>
        <w:textAlignment w:val="auto"/>
      </w:pPr>
      <w:r>
        <w:rPr>
          <w:rFonts w:hint="eastAsia" w:ascii="仿宋_GB2312" w:hAnsi="ˎ̥" w:eastAsia="仿宋_GB2312"/>
          <w:color w:val="000000"/>
          <w:sz w:val="32"/>
          <w:szCs w:val="32"/>
          <w:highlight w:val="none"/>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ˎ̥">
    <w:altName w:val="微软雅黑"/>
    <w:panose1 w:val="00000000000000000000"/>
    <w:charset w:val="00"/>
    <w:family w:val="moder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swiss"/>
    <w:pitch w:val="default"/>
    <w:sig w:usb0="800002BF" w:usb1="38CF7CFA" w:usb2="00000016" w:usb3="00000000" w:csb0="00040001" w:csb1="00000000"/>
  </w:font>
  <w:font w:name="仿宋_GB2312">
    <w:panose1 w:val="02010609030101010101"/>
    <w:charset w:val="86"/>
    <w:family w:val="swiss"/>
    <w:pitch w:val="default"/>
    <w:sig w:usb0="00000001" w:usb1="080E0000" w:usb2="00000000" w:usb3="00000000" w:csb0="00040000" w:csb1="00000000"/>
  </w:font>
  <w:font w:name="楷体_GB2312">
    <w:panose1 w:val="02010609030101010101"/>
    <w:charset w:val="86"/>
    <w:family w:val="swiss"/>
    <w:pitch w:val="default"/>
    <w:sig w:usb0="00000001" w:usb1="080E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00"/>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952539596">
    <w:nsid w:val="AFFC2DCC"/>
    <w:multiLevelType w:val="singleLevel"/>
    <w:tmpl w:val="AFFC2DCC"/>
    <w:lvl w:ilvl="0" w:tentative="1">
      <w:start w:val="1"/>
      <w:numFmt w:val="chineseCounting"/>
      <w:suff w:val="nothing"/>
      <w:lvlText w:val="%1、"/>
      <w:lvlJc w:val="left"/>
      <w:rPr>
        <w:rFonts w:hint="eastAsia"/>
      </w:rPr>
    </w:lvl>
  </w:abstractNum>
  <w:abstractNum w:abstractNumId="1913692045">
    <w:nsid w:val="72109F8D"/>
    <w:multiLevelType w:val="singleLevel"/>
    <w:tmpl w:val="72109F8D"/>
    <w:lvl w:ilvl="0" w:tentative="1">
      <w:start w:val="7"/>
      <w:numFmt w:val="chineseCounting"/>
      <w:suff w:val="nothing"/>
      <w:lvlText w:val="%1、"/>
      <w:lvlJc w:val="left"/>
      <w:rPr>
        <w:rFonts w:hint="eastAsia"/>
      </w:rPr>
    </w:lvl>
  </w:abstractNum>
  <w:num w:numId="1">
    <w:abstractNumId w:val="1913692045"/>
  </w:num>
  <w:num w:numId="2">
    <w:abstractNumId w:val="295253959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xM2U3OTk4Yjc0ZTY4NTQxYjAyMGZjMzk3NmY5ZTIifQ=="/>
  </w:docVars>
  <w:rsids>
    <w:rsidRoot w:val="63962537"/>
    <w:rsid w:val="02E5131F"/>
    <w:rsid w:val="079137CB"/>
    <w:rsid w:val="07B91CCB"/>
    <w:rsid w:val="07BC305C"/>
    <w:rsid w:val="090A175C"/>
    <w:rsid w:val="0B6F17B1"/>
    <w:rsid w:val="11FD4E58"/>
    <w:rsid w:val="128B3075"/>
    <w:rsid w:val="14A96F02"/>
    <w:rsid w:val="14FB46BE"/>
    <w:rsid w:val="15664501"/>
    <w:rsid w:val="1989493C"/>
    <w:rsid w:val="19C70C92"/>
    <w:rsid w:val="1A8E7D82"/>
    <w:rsid w:val="1B2D733D"/>
    <w:rsid w:val="1B704019"/>
    <w:rsid w:val="1E4860F4"/>
    <w:rsid w:val="2A546EEE"/>
    <w:rsid w:val="2F4921D6"/>
    <w:rsid w:val="30E3643E"/>
    <w:rsid w:val="317F1B79"/>
    <w:rsid w:val="37943E0C"/>
    <w:rsid w:val="38E54BBA"/>
    <w:rsid w:val="3AF43922"/>
    <w:rsid w:val="3DB62EFA"/>
    <w:rsid w:val="3DDC316C"/>
    <w:rsid w:val="3E0F3432"/>
    <w:rsid w:val="45F96148"/>
    <w:rsid w:val="47296334"/>
    <w:rsid w:val="50AF0A90"/>
    <w:rsid w:val="52AC0FF7"/>
    <w:rsid w:val="56632526"/>
    <w:rsid w:val="5D83440B"/>
    <w:rsid w:val="5E7C2BF7"/>
    <w:rsid w:val="63962537"/>
    <w:rsid w:val="67D446DF"/>
    <w:rsid w:val="6C2537A0"/>
    <w:rsid w:val="6DEA37DF"/>
    <w:rsid w:val="6EE162FC"/>
    <w:rsid w:val="70785D38"/>
    <w:rsid w:val="717F33DE"/>
    <w:rsid w:val="752A2E4F"/>
    <w:rsid w:val="77C101CA"/>
    <w:rsid w:val="78C22A8A"/>
    <w:rsid w:val="7C0C0B3F"/>
    <w:rsid w:val="7DA532B5"/>
    <w:rsid w:val="7EA6246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4">
    <w:name w:val="List Paragraph"/>
    <w:basedOn w:val="1"/>
    <w:qFormat/>
    <w:uiPriority w:val="34"/>
    <w:pPr>
      <w:ind w:firstLine="420" w:firstLineChars="200"/>
    </w:pPr>
  </w:style>
  <w:style w:type="paragraph" w:customStyle="1" w:styleId="5">
    <w:name w:val="WPSOffice手动目录 1"/>
    <w:qFormat/>
    <w:uiPriority w:val="0"/>
    <w:rPr>
      <w:rFonts w:ascii="Times New Roman" w:hAnsi="Times New Roman" w:eastAsia="宋体" w:cs="Times New Roman"/>
      <w:lang w:val="en-US" w:eastAsia="zh-CN" w:bidi="ar-SA"/>
    </w:rPr>
  </w:style>
  <w:style w:type="paragraph" w:customStyle="1" w:styleId="6">
    <w:name w:val="WPSOffice手动目录 2"/>
    <w:qFormat/>
    <w:uiPriority w:val="0"/>
    <w:pPr>
      <w:ind w:left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2023-10-24T01:13:00Z</dcterms:created>
  <dc:creator>老男人</dc:creator>
  <cp:lastModifiedBy>潘金亮</cp:lastModifiedBy>
  <dcterms:modified xsi:type="dcterms:W3CDTF">2023-10-19T05:42:51Z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y fmtid="{D5CDD505-2E9C-101B-9397-08002B2CF9AE}" pid="3" name="ICV">
    <vt:lpwstr>DD023AB4767D4053A4A33B867653F1C9_11</vt:lpwstr>
  </property>
</Properties>
</file>