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eastAsia="宋体"/>
          <w:sz w:val="30"/>
          <w:szCs w:val="30"/>
          <w:lang w:val="en-US" w:eastAsia="zh-CN"/>
        </w:rPr>
      </w:pPr>
      <w:r>
        <w:rPr>
          <w:rFonts w:hint="eastAsia" w:ascii="宋体" w:hAnsi="宋体"/>
          <w:sz w:val="30"/>
          <w:szCs w:val="30"/>
          <w:lang w:val="en-US" w:eastAsia="zh-CN"/>
        </w:rPr>
        <w:t xml:space="preserve">  </w:t>
      </w:r>
      <w:bookmarkStart w:id="108" w:name="_GoBack"/>
      <w:bookmarkEnd w:id="108"/>
    </w:p>
    <w:p>
      <w:pPr>
        <w:jc w:val="center"/>
        <w:rPr>
          <w:rFonts w:ascii="黑体" w:hAnsi="黑体" w:eastAsia="黑体" w:cs="黑体"/>
          <w:kern w:val="0"/>
          <w:sz w:val="44"/>
          <w:szCs w:val="44"/>
          <w:shd w:val="clear" w:color="auto" w:fill="FFFFFF"/>
          <w:lang w:bidi="ar"/>
        </w:rPr>
      </w:pPr>
      <w:r>
        <w:rPr>
          <w:rFonts w:hint="eastAsia" w:ascii="黑体" w:hAnsi="黑体" w:eastAsia="黑体" w:cs="黑体"/>
          <w:kern w:val="0"/>
          <w:sz w:val="44"/>
          <w:szCs w:val="44"/>
          <w:shd w:val="clear" w:color="auto" w:fill="FFFFFF"/>
          <w:lang w:bidi="ar"/>
        </w:rPr>
        <w:t xml:space="preserve"> 中共三亚市崖州区委组织部2018年度</w:t>
      </w:r>
    </w:p>
    <w:p>
      <w:pPr>
        <w:jc w:val="center"/>
        <w:rPr>
          <w:rFonts w:ascii="黑体" w:hAnsi="黑体" w:eastAsia="黑体" w:cs="黑体"/>
          <w:sz w:val="44"/>
          <w:szCs w:val="44"/>
        </w:rPr>
      </w:pPr>
      <w:r>
        <w:rPr>
          <w:rFonts w:hint="eastAsia" w:ascii="黑体" w:hAnsi="黑体" w:eastAsia="黑体" w:cs="黑体"/>
          <w:kern w:val="0"/>
          <w:sz w:val="44"/>
          <w:szCs w:val="44"/>
          <w:shd w:val="clear" w:color="auto" w:fill="FFFFFF"/>
          <w:lang w:bidi="ar"/>
        </w:rPr>
        <w:t>部门决算</w:t>
      </w:r>
    </w:p>
    <w:p>
      <w:pPr>
        <w:jc w:val="center"/>
        <w:rPr>
          <w:rFonts w:hint="eastAsia" w:ascii="黑体" w:hAnsi="ˎ̥" w:eastAsia="黑体"/>
          <w:b/>
        </w:rPr>
      </w:pPr>
    </w:p>
    <w:p>
      <w:pPr>
        <w:widowControl/>
        <w:spacing w:before="100" w:beforeAutospacing="1" w:after="100" w:afterAutospacing="1"/>
        <w:jc w:val="center"/>
        <w:rPr>
          <w:rFonts w:ascii="宋体" w:hAnsi="宋体" w:cs="宋体"/>
          <w:kern w:val="0"/>
          <w:sz w:val="24"/>
          <w:szCs w:val="24"/>
        </w:rPr>
      </w:pPr>
      <w:bookmarkStart w:id="0" w:name="_Toc11440_WPSOffice_Type2"/>
      <w:r>
        <w:rPr>
          <w:rFonts w:hint="eastAsia" w:ascii="黑体" w:hAnsi="黑体" w:eastAsia="黑体" w:cs="黑体"/>
          <w:kern w:val="0"/>
          <w:sz w:val="44"/>
          <w:szCs w:val="44"/>
        </w:rPr>
        <w:t>目  录</w:t>
      </w:r>
    </w:p>
    <w:p>
      <w:pPr>
        <w:widowControl/>
        <w:tabs>
          <w:tab w:val="right" w:leader="dot" w:pos="8306"/>
        </w:tabs>
        <w:spacing w:before="100" w:beforeAutospacing="1" w:after="100" w:afterAutospacing="1"/>
        <w:jc w:val="left"/>
        <w:rPr>
          <w:rFonts w:ascii="黑体" w:hAnsi="黑体" w:eastAsia="黑体" w:cs="黑体"/>
          <w:b/>
          <w:bCs/>
          <w:kern w:val="0"/>
        </w:rPr>
      </w:pPr>
      <w:r>
        <w:rPr>
          <w:rFonts w:hint="eastAsia" w:ascii="黑体" w:hAnsi="黑体" w:eastAsia="黑体" w:cs="黑体"/>
          <w:b/>
          <w:bCs/>
          <w:kern w:val="0"/>
        </w:rPr>
        <w:t>第一部分  中共三亚市崖州区委组织2018年度部门决算汇总部门概况</w:t>
      </w:r>
      <w:r>
        <w:rPr>
          <w:rFonts w:hint="eastAsia" w:ascii="黑体" w:hAnsi="黑体" w:eastAsia="黑体" w:cs="黑体"/>
          <w:b/>
          <w:bCs/>
          <w:kern w:val="0"/>
        </w:rPr>
        <w:tab/>
      </w:r>
      <w:r>
        <w:rPr>
          <w:rFonts w:hint="eastAsia" w:ascii="黑体" w:hAnsi="黑体" w:eastAsia="黑体" w:cs="黑体"/>
          <w:b/>
          <w:bCs/>
          <w:kern w:val="0"/>
        </w:rPr>
        <w:t>4</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一、部门职责</w:t>
      </w:r>
      <w:r>
        <w:rPr>
          <w:rFonts w:hint="eastAsia" w:ascii="仿宋" w:hAnsi="仿宋" w:eastAsia="仿宋" w:cs="仿宋"/>
          <w:kern w:val="0"/>
        </w:rPr>
        <w:tab/>
      </w:r>
      <w:r>
        <w:rPr>
          <w:rFonts w:hint="eastAsia" w:ascii="仿宋" w:hAnsi="仿宋" w:eastAsia="仿宋" w:cs="仿宋"/>
          <w:kern w:val="0"/>
        </w:rPr>
        <w:t>4</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二、机构设置</w:t>
      </w:r>
      <w:r>
        <w:rPr>
          <w:rFonts w:hint="eastAsia" w:ascii="仿宋" w:hAnsi="仿宋" w:eastAsia="仿宋" w:cs="仿宋"/>
          <w:kern w:val="0"/>
        </w:rPr>
        <w:tab/>
      </w:r>
      <w:r>
        <w:rPr>
          <w:rFonts w:hint="eastAsia" w:ascii="仿宋" w:hAnsi="仿宋" w:eastAsia="仿宋" w:cs="仿宋"/>
          <w:kern w:val="0"/>
        </w:rPr>
        <w:t>5</w:t>
      </w:r>
    </w:p>
    <w:p>
      <w:pPr>
        <w:widowControl/>
        <w:tabs>
          <w:tab w:val="right" w:leader="dot" w:pos="8306"/>
        </w:tabs>
        <w:spacing w:before="100" w:beforeAutospacing="1" w:after="100" w:afterAutospacing="1"/>
        <w:jc w:val="left"/>
        <w:rPr>
          <w:rFonts w:ascii="黑体" w:hAnsi="黑体" w:eastAsia="黑体" w:cs="黑体"/>
          <w:b/>
          <w:bCs/>
          <w:kern w:val="0"/>
        </w:rPr>
      </w:pPr>
      <w:r>
        <w:rPr>
          <w:rFonts w:hint="eastAsia" w:ascii="黑体" w:hAnsi="黑体" w:eastAsia="黑体" w:cs="黑体"/>
          <w:b/>
          <w:bCs/>
          <w:kern w:val="0"/>
        </w:rPr>
        <w:t>第二部分  中共三亚市崖州区委组织2018年度部门决算汇总部门2018年度部门决算公开表</w:t>
      </w:r>
      <w:r>
        <w:rPr>
          <w:rFonts w:hint="eastAsia" w:ascii="黑体" w:hAnsi="黑体" w:eastAsia="黑体" w:cs="黑体"/>
          <w:b/>
          <w:bCs/>
          <w:kern w:val="0"/>
        </w:rPr>
        <w:tab/>
      </w:r>
      <w:r>
        <w:rPr>
          <w:rFonts w:hint="eastAsia" w:ascii="黑体" w:hAnsi="黑体" w:eastAsia="黑体" w:cs="黑体"/>
          <w:b/>
          <w:bCs/>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一、收入支出决算公开表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二、收入决算公开表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三、支出决算公开表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四、 财政拨款收入支出决算公开表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五、一般公共预算财政拨款收入支出决算公开表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六、一般公共预算财政拨款基本支出决算公开表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七、政府性基金预算财政拨款收入支出决算公开表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八、一般公共预算财政拨款“三公”经费支出决算公开表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九、政府性基金预算财政拨款“三公”经费支出决算公开表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十、资产负债公开简表</w:t>
      </w:r>
      <w:r>
        <w:rPr>
          <w:rFonts w:hint="eastAsia" w:ascii="仿宋" w:hAnsi="仿宋" w:eastAsia="仿宋" w:cs="仿宋"/>
          <w:kern w:val="0"/>
        </w:rPr>
        <w:tab/>
      </w:r>
      <w:r>
        <w:rPr>
          <w:rFonts w:hint="eastAsia" w:ascii="仿宋" w:hAnsi="仿宋" w:eastAsia="仿宋" w:cs="仿宋"/>
          <w:kern w:val="0"/>
        </w:rPr>
        <w:t>6</w:t>
      </w:r>
    </w:p>
    <w:p>
      <w:pPr>
        <w:widowControl/>
        <w:tabs>
          <w:tab w:val="right" w:leader="dot" w:pos="8306"/>
        </w:tabs>
        <w:spacing w:before="100" w:beforeAutospacing="1" w:after="100" w:afterAutospacing="1"/>
        <w:jc w:val="left"/>
        <w:rPr>
          <w:rFonts w:ascii="黑体" w:hAnsi="黑体" w:eastAsia="黑体" w:cs="黑体"/>
          <w:b/>
          <w:bCs/>
          <w:kern w:val="0"/>
        </w:rPr>
      </w:pPr>
      <w:r>
        <w:rPr>
          <w:rFonts w:hint="eastAsia" w:ascii="黑体" w:hAnsi="黑体" w:eastAsia="黑体" w:cs="黑体"/>
          <w:b/>
          <w:bCs/>
          <w:kern w:val="0"/>
        </w:rPr>
        <w:t>第三部分  中共三亚市崖州区委组织2018年度部门决算汇总部门2018年度部门决算情况说明</w:t>
      </w:r>
      <w:r>
        <w:rPr>
          <w:rFonts w:hint="eastAsia" w:ascii="黑体" w:hAnsi="黑体" w:eastAsia="黑体" w:cs="黑体"/>
          <w:b/>
          <w:bCs/>
          <w:kern w:val="0"/>
        </w:rPr>
        <w:tab/>
      </w:r>
      <w:r>
        <w:rPr>
          <w:rFonts w:hint="eastAsia" w:ascii="黑体" w:hAnsi="黑体" w:eastAsia="黑体" w:cs="黑体"/>
          <w:b/>
          <w:bCs/>
          <w:kern w:val="0"/>
        </w:rPr>
        <w:t>7</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一、收入支出决算总体情况说明</w:t>
      </w:r>
      <w:r>
        <w:rPr>
          <w:rFonts w:hint="eastAsia" w:ascii="仿宋" w:hAnsi="仿宋" w:eastAsia="仿宋" w:cs="仿宋"/>
          <w:kern w:val="0"/>
        </w:rPr>
        <w:tab/>
      </w:r>
      <w:r>
        <w:rPr>
          <w:rFonts w:hint="eastAsia" w:ascii="仿宋" w:hAnsi="仿宋" w:eastAsia="仿宋" w:cs="仿宋"/>
          <w:kern w:val="0"/>
        </w:rPr>
        <w:t>7</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二、收入决算情况说明</w:t>
      </w:r>
      <w:r>
        <w:rPr>
          <w:rFonts w:hint="eastAsia" w:ascii="仿宋" w:hAnsi="仿宋" w:eastAsia="仿宋" w:cs="仿宋"/>
          <w:kern w:val="0"/>
        </w:rPr>
        <w:tab/>
      </w:r>
      <w:r>
        <w:rPr>
          <w:rFonts w:hint="eastAsia" w:ascii="仿宋" w:hAnsi="仿宋" w:eastAsia="仿宋" w:cs="仿宋"/>
          <w:kern w:val="0"/>
        </w:rPr>
        <w:t>8</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三、支出决算情况说明</w:t>
      </w:r>
      <w:r>
        <w:rPr>
          <w:rFonts w:hint="eastAsia" w:ascii="仿宋" w:hAnsi="仿宋" w:eastAsia="仿宋" w:cs="仿宋"/>
          <w:kern w:val="0"/>
        </w:rPr>
        <w:tab/>
      </w:r>
      <w:r>
        <w:rPr>
          <w:rFonts w:hint="eastAsia" w:ascii="仿宋" w:hAnsi="仿宋" w:eastAsia="仿宋" w:cs="仿宋"/>
          <w:kern w:val="0"/>
        </w:rPr>
        <w:t>8</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四、财政拨款收入支出决算总体情况说明</w:t>
      </w:r>
      <w:r>
        <w:rPr>
          <w:rFonts w:hint="eastAsia" w:ascii="仿宋" w:hAnsi="仿宋" w:eastAsia="仿宋" w:cs="仿宋"/>
          <w:kern w:val="0"/>
        </w:rPr>
        <w:tab/>
      </w:r>
      <w:r>
        <w:rPr>
          <w:rFonts w:hint="eastAsia" w:ascii="仿宋" w:hAnsi="仿宋" w:eastAsia="仿宋" w:cs="仿宋"/>
          <w:kern w:val="0"/>
        </w:rPr>
        <w:t>8</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五、一般公共预算财政拨款支出决算情况说明</w:t>
      </w:r>
      <w:r>
        <w:rPr>
          <w:rFonts w:hint="eastAsia" w:ascii="仿宋" w:hAnsi="仿宋" w:eastAsia="仿宋" w:cs="仿宋"/>
          <w:kern w:val="0"/>
        </w:rPr>
        <w:tab/>
      </w:r>
      <w:r>
        <w:rPr>
          <w:rFonts w:hint="eastAsia" w:ascii="仿宋" w:hAnsi="仿宋" w:eastAsia="仿宋" w:cs="仿宋"/>
          <w:kern w:val="0"/>
        </w:rPr>
        <w:t>9</w:t>
      </w:r>
    </w:p>
    <w:p>
      <w:pPr>
        <w:widowControl/>
        <w:tabs>
          <w:tab w:val="right" w:leader="dot" w:pos="8306"/>
        </w:tabs>
        <w:spacing w:before="100" w:beforeAutospacing="1" w:after="100" w:afterAutospacing="1"/>
        <w:jc w:val="left"/>
        <w:rPr>
          <w:rFonts w:ascii="仿宋" w:hAnsi="仿宋" w:eastAsia="仿宋" w:cs="仿宋"/>
          <w:kern w:val="0"/>
        </w:rPr>
      </w:pPr>
      <w:r>
        <w:rPr>
          <w:rFonts w:hint="eastAsia" w:ascii="仿宋" w:hAnsi="仿宋" w:eastAsia="仿宋" w:cs="仿宋"/>
          <w:bCs/>
          <w:kern w:val="0"/>
        </w:rPr>
        <w:t>六、一般公共预算财政拨款基本支出决算情况说明</w:t>
      </w:r>
      <w:r>
        <w:rPr>
          <w:rFonts w:hint="eastAsia" w:ascii="仿宋" w:hAnsi="仿宋" w:eastAsia="仿宋" w:cs="仿宋"/>
          <w:kern w:val="0"/>
        </w:rPr>
        <w:tab/>
      </w:r>
      <w:r>
        <w:rPr>
          <w:rFonts w:hint="eastAsia" w:ascii="仿宋" w:hAnsi="仿宋" w:eastAsia="仿宋" w:cs="仿宋"/>
          <w:kern w:val="0"/>
        </w:rPr>
        <w:t>16</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七、</w:t>
      </w:r>
      <w:r>
        <w:rPr>
          <w:rFonts w:hint="eastAsia" w:ascii="仿宋" w:hAnsi="仿宋" w:eastAsia="仿宋" w:cs="仿宋"/>
          <w:bCs/>
          <w:kern w:val="0"/>
        </w:rPr>
        <w:t>政府性基金预算财政拨款收入支出决算情况说明</w:t>
      </w:r>
      <w:r>
        <w:rPr>
          <w:rFonts w:hint="eastAsia" w:ascii="仿宋" w:hAnsi="仿宋" w:eastAsia="仿宋" w:cs="仿宋"/>
          <w:kern w:val="0"/>
        </w:rPr>
        <w:tab/>
      </w:r>
      <w:r>
        <w:rPr>
          <w:rFonts w:hint="eastAsia" w:ascii="仿宋" w:hAnsi="仿宋" w:eastAsia="仿宋" w:cs="仿宋"/>
          <w:kern w:val="0"/>
        </w:rPr>
        <w:t>17</w:t>
      </w:r>
    </w:p>
    <w:p>
      <w:pPr>
        <w:widowControl/>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八、一般公共预算财政拨款“三公”经费支出决算情况说明</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ab/>
      </w:r>
      <w:r>
        <w:rPr>
          <w:rFonts w:hint="eastAsia" w:ascii="仿宋" w:hAnsi="仿宋" w:eastAsia="仿宋" w:cs="仿宋"/>
          <w:kern w:val="0"/>
        </w:rPr>
        <w:t>17</w:t>
      </w:r>
    </w:p>
    <w:p>
      <w:pPr>
        <w:widowControl/>
        <w:spacing w:before="100" w:beforeAutospacing="1" w:after="100" w:afterAutospacing="1"/>
        <w:jc w:val="left"/>
        <w:rPr>
          <w:rFonts w:ascii="宋体" w:hAnsi="宋体" w:cs="宋体"/>
          <w:kern w:val="0"/>
          <w:sz w:val="24"/>
          <w:szCs w:val="24"/>
        </w:rPr>
      </w:pPr>
      <w:r>
        <w:rPr>
          <w:rFonts w:hint="eastAsia" w:ascii="仿宋" w:hAnsi="仿宋" w:eastAsia="仿宋" w:cs="仿宋"/>
          <w:bCs/>
          <w:kern w:val="0"/>
        </w:rPr>
        <w:t>九、政府性基金预算财政拨款“三公”经费支出决算情况说明</w:t>
      </w:r>
    </w:p>
    <w:p>
      <w:pPr>
        <w:widowControl/>
        <w:tabs>
          <w:tab w:val="right" w:leader="dot" w:pos="8306"/>
        </w:tabs>
        <w:spacing w:before="100" w:beforeAutospacing="1" w:after="100" w:afterAutospacing="1"/>
        <w:jc w:val="left"/>
        <w:rPr>
          <w:rFonts w:ascii="宋体" w:hAnsi="宋体" w:cs="宋体"/>
          <w:kern w:val="0"/>
          <w:sz w:val="24"/>
          <w:szCs w:val="24"/>
        </w:rPr>
      </w:pPr>
      <w:r>
        <w:rPr>
          <w:rFonts w:hint="eastAsia" w:ascii="仿宋" w:hAnsi="仿宋" w:eastAsia="仿宋" w:cs="仿宋"/>
          <w:kern w:val="0"/>
        </w:rPr>
        <w:tab/>
      </w:r>
      <w:r>
        <w:rPr>
          <w:rFonts w:hint="eastAsia" w:ascii="仿宋" w:hAnsi="仿宋" w:eastAsia="仿宋" w:cs="仿宋"/>
          <w:kern w:val="0"/>
        </w:rPr>
        <w:t>19</w:t>
      </w:r>
    </w:p>
    <w:p>
      <w:pPr>
        <w:widowControl/>
        <w:tabs>
          <w:tab w:val="right" w:leader="dot" w:pos="8306"/>
        </w:tabs>
        <w:spacing w:before="100" w:beforeAutospacing="1" w:after="100" w:afterAutospacing="1"/>
        <w:jc w:val="left"/>
        <w:rPr>
          <w:rFonts w:ascii="宋体" w:hAnsi="宋体" w:cs="宋体"/>
          <w:kern w:val="0"/>
        </w:rPr>
      </w:pPr>
      <w:r>
        <w:rPr>
          <w:rFonts w:hint="eastAsia" w:ascii="仿宋" w:hAnsi="仿宋" w:eastAsia="仿宋" w:cs="仿宋"/>
          <w:kern w:val="0"/>
        </w:rPr>
        <w:t>十、资产负债决算</w:t>
      </w:r>
      <w:r>
        <w:rPr>
          <w:rFonts w:hint="eastAsia" w:ascii="仿宋" w:hAnsi="仿宋" w:eastAsia="仿宋" w:cs="仿宋"/>
          <w:bCs/>
          <w:kern w:val="0"/>
        </w:rPr>
        <w:t>情况说明</w:t>
      </w:r>
      <w:r>
        <w:rPr>
          <w:rFonts w:hint="eastAsia" w:ascii="仿宋" w:hAnsi="仿宋" w:eastAsia="仿宋" w:cs="仿宋"/>
          <w:kern w:val="0"/>
        </w:rPr>
        <w:tab/>
      </w:r>
      <w:r>
        <w:rPr>
          <w:rFonts w:hint="eastAsia" w:ascii="仿宋" w:hAnsi="仿宋" w:eastAsia="仿宋" w:cs="仿宋"/>
          <w:kern w:val="0"/>
        </w:rPr>
        <w:t>20</w:t>
      </w:r>
    </w:p>
    <w:p>
      <w:pPr>
        <w:widowControl/>
        <w:tabs>
          <w:tab w:val="right" w:leader="dot" w:pos="8306"/>
        </w:tabs>
        <w:spacing w:before="100" w:beforeAutospacing="1" w:after="100" w:afterAutospacing="1"/>
        <w:jc w:val="left"/>
        <w:rPr>
          <w:rFonts w:ascii="宋体" w:hAnsi="宋体" w:cs="宋体"/>
          <w:kern w:val="0"/>
        </w:rPr>
      </w:pPr>
      <w:r>
        <w:rPr>
          <w:rFonts w:hint="eastAsia" w:ascii="仿宋" w:hAnsi="仿宋" w:eastAsia="仿宋" w:cs="仿宋"/>
          <w:bCs/>
          <w:kern w:val="0"/>
        </w:rPr>
        <w:t>十一、预算绩效情况说明</w:t>
      </w:r>
      <w:r>
        <w:rPr>
          <w:rFonts w:hint="eastAsia" w:ascii="仿宋" w:hAnsi="仿宋" w:eastAsia="仿宋" w:cs="仿宋"/>
          <w:kern w:val="0"/>
        </w:rPr>
        <w:tab/>
      </w:r>
      <w:r>
        <w:rPr>
          <w:rFonts w:hint="eastAsia" w:ascii="仿宋" w:hAnsi="仿宋" w:eastAsia="仿宋" w:cs="仿宋"/>
          <w:kern w:val="0"/>
        </w:rPr>
        <w:t>20</w:t>
      </w:r>
    </w:p>
    <w:p>
      <w:pPr>
        <w:widowControl/>
        <w:tabs>
          <w:tab w:val="right" w:leader="dot" w:pos="8306"/>
        </w:tabs>
        <w:spacing w:before="100" w:beforeAutospacing="1" w:after="100" w:afterAutospacing="1"/>
        <w:jc w:val="left"/>
        <w:rPr>
          <w:rFonts w:ascii="宋体" w:hAnsi="宋体" w:cs="宋体"/>
          <w:kern w:val="0"/>
        </w:rPr>
      </w:pPr>
      <w:r>
        <w:rPr>
          <w:rFonts w:hint="eastAsia" w:ascii="仿宋" w:hAnsi="仿宋" w:eastAsia="仿宋" w:cs="仿宋"/>
          <w:bCs/>
          <w:kern w:val="0"/>
        </w:rPr>
        <w:t>十二、其他重要事项情况说明</w:t>
      </w:r>
      <w:r>
        <w:rPr>
          <w:rFonts w:hint="eastAsia" w:ascii="仿宋" w:hAnsi="仿宋" w:eastAsia="仿宋" w:cs="仿宋"/>
          <w:kern w:val="0"/>
        </w:rPr>
        <w:tab/>
      </w:r>
      <w:r>
        <w:rPr>
          <w:rFonts w:hint="eastAsia" w:ascii="仿宋" w:hAnsi="仿宋" w:eastAsia="仿宋" w:cs="仿宋"/>
          <w:kern w:val="0"/>
        </w:rPr>
        <w:t>20</w:t>
      </w:r>
    </w:p>
    <w:p>
      <w:pPr>
        <w:widowControl/>
        <w:tabs>
          <w:tab w:val="right" w:leader="dot" w:pos="8306"/>
        </w:tabs>
        <w:spacing w:before="100" w:beforeAutospacing="1" w:after="100" w:afterAutospacing="1"/>
        <w:jc w:val="left"/>
        <w:rPr>
          <w:rFonts w:hint="eastAsia" w:ascii="黑体" w:hAnsi="ˎ̥" w:eastAsia="黑体"/>
          <w:b/>
        </w:rPr>
      </w:pPr>
      <w:r>
        <w:rPr>
          <w:rFonts w:hint="eastAsia" w:ascii="黑体" w:hAnsi="黑体" w:eastAsia="黑体" w:cs="黑体"/>
          <w:b/>
          <w:bCs/>
          <w:kern w:val="0"/>
        </w:rPr>
        <w:t>第四部分  名词解释</w:t>
      </w:r>
      <w:r>
        <w:rPr>
          <w:rFonts w:hint="eastAsia" w:ascii="黑体" w:hAnsi="黑体" w:eastAsia="黑体" w:cs="黑体"/>
          <w:b/>
          <w:bCs/>
          <w:kern w:val="0"/>
        </w:rPr>
        <w:tab/>
      </w:r>
      <w:bookmarkEnd w:id="0"/>
      <w:r>
        <w:rPr>
          <w:rFonts w:hint="eastAsia" w:ascii="黑体" w:hAnsi="黑体" w:eastAsia="黑体" w:cs="黑体"/>
          <w:b/>
          <w:bCs/>
          <w:kern w:val="0"/>
        </w:rPr>
        <w:t>20</w:t>
      </w:r>
    </w:p>
    <w:p>
      <w:pPr>
        <w:jc w:val="center"/>
        <w:rPr>
          <w:rFonts w:hint="eastAsia" w:ascii="黑体" w:hAnsi="ˎ̥" w:eastAsia="黑体"/>
          <w:b/>
        </w:rPr>
      </w:pPr>
    </w:p>
    <w:p>
      <w:pPr>
        <w:jc w:val="center"/>
        <w:rPr>
          <w:rFonts w:hint="eastAsia" w:ascii="黑体" w:hAnsi="ˎ̥" w:eastAsia="黑体"/>
        </w:rPr>
      </w:pPr>
      <w:bookmarkStart w:id="1" w:name="_Toc1704_WPSOffice_Level1"/>
      <w:bookmarkStart w:id="2" w:name="_Toc10720_WPSOffice_Level1"/>
      <w:bookmarkStart w:id="3" w:name="_Toc22941_WPSOffice_Level1"/>
      <w:bookmarkStart w:id="4" w:name="_Toc10049_WPSOffice_Level1"/>
      <w:bookmarkStart w:id="5" w:name="_Toc32433_WPSOffice_Level1"/>
      <w:bookmarkStart w:id="6" w:name="_Toc23465_WPSOffice_Level1"/>
      <w:r>
        <w:rPr>
          <w:rFonts w:hint="eastAsia" w:ascii="黑体" w:hAnsi="ˎ̥" w:eastAsia="黑体"/>
        </w:rPr>
        <w:t>第一部分  区委组织部部门概况</w:t>
      </w:r>
      <w:bookmarkEnd w:id="1"/>
      <w:bookmarkEnd w:id="2"/>
      <w:bookmarkEnd w:id="3"/>
      <w:bookmarkEnd w:id="4"/>
      <w:bookmarkEnd w:id="5"/>
      <w:bookmarkEnd w:id="6"/>
    </w:p>
    <w:p>
      <w:pPr>
        <w:ind w:firstLine="640" w:firstLineChars="200"/>
        <w:rPr>
          <w:rFonts w:ascii="楷体" w:hAnsi="楷体" w:eastAsia="楷体" w:cs="楷体"/>
        </w:rPr>
      </w:pPr>
    </w:p>
    <w:p>
      <w:pPr>
        <w:ind w:firstLine="640" w:firstLineChars="200"/>
        <w:rPr>
          <w:rFonts w:hint="eastAsia" w:ascii="黑体" w:hAnsi="ˎ̥" w:eastAsia="黑体"/>
        </w:rPr>
      </w:pPr>
      <w:r>
        <w:rPr>
          <w:rFonts w:hint="eastAsia" w:ascii="黑体" w:hAnsi="ˎ̥" w:eastAsia="黑体"/>
        </w:rPr>
        <w:t>一、部门概况</w:t>
      </w:r>
    </w:p>
    <w:p>
      <w:pPr>
        <w:widowControl/>
        <w:spacing w:line="540" w:lineRule="exact"/>
        <w:ind w:firstLine="640" w:firstLineChars="200"/>
        <w:jc w:val="left"/>
        <w:rPr>
          <w:rFonts w:hint="eastAsia" w:ascii="仿宋_GB2312" w:hAnsi="ˎ̥" w:eastAsia="仿宋_GB2312" w:cs="宋体"/>
          <w:kern w:val="0"/>
        </w:rPr>
      </w:pPr>
      <w:r>
        <w:rPr>
          <w:rFonts w:hint="eastAsia" w:ascii="仿宋_GB2312" w:hAnsi="ˎ̥" w:eastAsia="仿宋_GB2312" w:cs="宋体"/>
          <w:kern w:val="0"/>
        </w:rPr>
        <w:t>1.部门（单位）主要职能</w:t>
      </w:r>
    </w:p>
    <w:p>
      <w:pPr>
        <w:spacing w:line="540" w:lineRule="exact"/>
        <w:ind w:firstLine="643" w:firstLineChars="200"/>
        <w:rPr>
          <w:rFonts w:eastAsia="楷体_GB2312"/>
          <w:b/>
        </w:rPr>
      </w:pPr>
      <w:r>
        <w:rPr>
          <w:rFonts w:hint="eastAsia" w:eastAsia="楷体_GB2312"/>
          <w:b/>
        </w:rPr>
        <w:t>（</w:t>
      </w:r>
      <w:r>
        <w:rPr>
          <w:rFonts w:eastAsia="楷体_GB2312"/>
          <w:b/>
        </w:rPr>
        <w:t>一）组织部主要职责</w:t>
      </w:r>
    </w:p>
    <w:p>
      <w:pPr>
        <w:spacing w:line="540" w:lineRule="exact"/>
        <w:ind w:firstLine="640" w:firstLineChars="200"/>
        <w:rPr>
          <w:rFonts w:eastAsia="仿宋_GB2312"/>
        </w:rPr>
      </w:pPr>
      <w:r>
        <w:rPr>
          <w:rFonts w:eastAsia="仿宋_GB2312"/>
        </w:rPr>
        <w:t>1．贯彻执行中央及省、市有关组织、干部、人才、老干部工作的方针、政策；依法拟定并组织实施本区组织、干部、人才、老干部工作的规划和措施。</w:t>
      </w:r>
    </w:p>
    <w:p>
      <w:pPr>
        <w:spacing w:line="540" w:lineRule="exact"/>
        <w:ind w:firstLine="640" w:firstLineChars="200"/>
        <w:rPr>
          <w:rFonts w:eastAsia="仿宋_GB2312"/>
        </w:rPr>
      </w:pPr>
      <w:r>
        <w:rPr>
          <w:rFonts w:eastAsia="仿宋_GB2312"/>
        </w:rPr>
        <w:t>2．指导本区党的组织建设，检查督促本区基层党组织执行党的组织制度；指导全区基层党组织的领导班子建设和换届选举；指导基层党组织抓好党员教育、管理和发展工作；负责农村（社区）干部及大学生村官管理；协调、规划和指导全区党员电化教育工作。</w:t>
      </w:r>
    </w:p>
    <w:p>
      <w:pPr>
        <w:spacing w:line="540" w:lineRule="exact"/>
        <w:ind w:firstLine="640" w:firstLineChars="200"/>
        <w:rPr>
          <w:rFonts w:eastAsia="仿宋_GB2312"/>
        </w:rPr>
      </w:pPr>
      <w:r>
        <w:rPr>
          <w:rFonts w:eastAsia="仿宋_GB2312"/>
        </w:rPr>
        <w:t>3．负责提出区委管理的领导班子调整、配备的意见和建议，承担区委管理的干部的考察和办理任免、工资、待遇、退休审批手续以及有关问题的调查审查工作；负责核准本区党政群机关、人大机关及参照公务员管理事业单位科级非领导职数的核准。承办区委管理干部的调配事宜；负责区委管理干部的出国（境）审查工作。指导本区老干部管理工作，主管本区党群系统、人大机关以及区委参照公务法管理的事业单位的公务员招录工作。加强本区各级领导班子思想政治建设。</w:t>
      </w:r>
    </w:p>
    <w:p>
      <w:pPr>
        <w:spacing w:line="540" w:lineRule="exact"/>
        <w:ind w:firstLine="640" w:firstLineChars="200"/>
        <w:rPr>
          <w:rFonts w:eastAsia="仿宋_GB2312"/>
        </w:rPr>
      </w:pPr>
      <w:r>
        <w:rPr>
          <w:rFonts w:eastAsia="仿宋_GB2312"/>
        </w:rPr>
        <w:t>4．主管本区干部教育工作和人才工作。</w:t>
      </w:r>
    </w:p>
    <w:p>
      <w:pPr>
        <w:spacing w:line="540" w:lineRule="exact"/>
        <w:ind w:firstLine="640" w:firstLineChars="200"/>
        <w:rPr>
          <w:rFonts w:eastAsia="仿宋_GB2312"/>
        </w:rPr>
      </w:pPr>
      <w:r>
        <w:rPr>
          <w:rFonts w:eastAsia="仿宋_GB2312"/>
        </w:rPr>
        <w:t>制定本区干部教育工作规划和工作措施；承办区委管理干部、科级后备干部、村（居）支部书记的培训，指导有关部门做好村（居）主任的培训；落实市委组织部下达抽调干部培训的计划。负责本区人才工作。</w:t>
      </w:r>
    </w:p>
    <w:p>
      <w:pPr>
        <w:spacing w:line="540" w:lineRule="exact"/>
        <w:ind w:firstLine="640" w:firstLineChars="200"/>
        <w:rPr>
          <w:rFonts w:eastAsia="仿宋_GB2312"/>
        </w:rPr>
      </w:pPr>
      <w:r>
        <w:rPr>
          <w:rFonts w:eastAsia="仿宋_GB2312"/>
        </w:rPr>
        <w:t>5．负责本区干部监督审查工作，做好党员干部的来信来访工作。</w:t>
      </w:r>
    </w:p>
    <w:p>
      <w:pPr>
        <w:spacing w:line="540" w:lineRule="exact"/>
        <w:ind w:firstLine="640" w:firstLineChars="200"/>
        <w:rPr>
          <w:rFonts w:eastAsia="仿宋_GB2312"/>
        </w:rPr>
      </w:pPr>
      <w:r>
        <w:rPr>
          <w:rFonts w:hint="eastAsia" w:eastAsia="仿宋_GB2312"/>
          <w:lang w:val="en-US" w:eastAsia="zh-CN"/>
        </w:rPr>
        <w:t>6</w:t>
      </w:r>
      <w:r>
        <w:rPr>
          <w:rFonts w:eastAsia="仿宋_GB2312"/>
        </w:rPr>
        <w:t>．负责本区党组织和党员统计、党费收缴与管理、党组织关系接转以及本区区委管理干部及党群系统、人大机关干部的档案管理及统计工作。</w:t>
      </w:r>
    </w:p>
    <w:p>
      <w:pPr>
        <w:spacing w:line="540" w:lineRule="exact"/>
        <w:ind w:firstLine="640" w:firstLineChars="200"/>
        <w:rPr>
          <w:rFonts w:eastAsia="仿宋_GB2312"/>
        </w:rPr>
      </w:pPr>
      <w:r>
        <w:rPr>
          <w:rFonts w:hint="eastAsia" w:eastAsia="仿宋_GB2312"/>
          <w:lang w:val="en-US" w:eastAsia="zh-CN"/>
        </w:rPr>
        <w:t>7</w:t>
      </w:r>
      <w:r>
        <w:rPr>
          <w:rFonts w:eastAsia="仿宋_GB2312"/>
        </w:rPr>
        <w:t>．承办区委和上级部门交办的其他工作。</w:t>
      </w:r>
    </w:p>
    <w:p>
      <w:pPr>
        <w:spacing w:line="540" w:lineRule="exact"/>
        <w:ind w:firstLine="643" w:firstLineChars="200"/>
        <w:rPr>
          <w:rFonts w:eastAsia="楷体_GB2312"/>
          <w:b/>
        </w:rPr>
      </w:pPr>
      <w:r>
        <w:rPr>
          <w:rFonts w:eastAsia="楷体_GB2312"/>
          <w:b/>
        </w:rPr>
        <w:t>（二）机构编制委员会办公室主要职责</w:t>
      </w:r>
    </w:p>
    <w:p>
      <w:pPr>
        <w:spacing w:line="540" w:lineRule="exact"/>
        <w:ind w:firstLine="640" w:firstLineChars="200"/>
        <w:rPr>
          <w:rFonts w:eastAsia="仿宋_GB2312"/>
        </w:rPr>
      </w:pPr>
      <w:r>
        <w:rPr>
          <w:rFonts w:eastAsia="仿宋_GB2312"/>
        </w:rPr>
        <w:t>1．贯彻执行中央及省、市有关机构编制工作的方针、政策；依法拟定并组织实施本区机构编制工作的规划和措施。</w:t>
      </w:r>
    </w:p>
    <w:p>
      <w:pPr>
        <w:spacing w:line="540" w:lineRule="exact"/>
        <w:ind w:firstLine="640" w:firstLineChars="200"/>
        <w:rPr>
          <w:rFonts w:eastAsia="仿宋_GB2312"/>
        </w:rPr>
      </w:pPr>
      <w:r>
        <w:rPr>
          <w:rFonts w:eastAsia="仿宋_GB2312"/>
        </w:rPr>
        <w:t>2．负责对本区党政群机关、事业单位机构、编制、事业单位法人单位执行情况的检查监督。对违反机构编制法规情况提出处理建议。</w:t>
      </w:r>
    </w:p>
    <w:p>
      <w:pPr>
        <w:spacing w:line="540" w:lineRule="exact"/>
        <w:ind w:firstLine="640" w:firstLineChars="200"/>
        <w:rPr>
          <w:rFonts w:eastAsia="仿宋_GB2312"/>
        </w:rPr>
      </w:pPr>
      <w:r>
        <w:rPr>
          <w:rFonts w:eastAsia="仿宋_GB2312"/>
        </w:rPr>
        <w:t>3．负责本区党政机关、人大机关、各人民团体机关和事业单位的机构编制管理工作。研究拟定本区行政管理体制与机构改革总体方案，并负责组织实施。</w:t>
      </w:r>
    </w:p>
    <w:p>
      <w:pPr>
        <w:spacing w:line="540" w:lineRule="exact"/>
        <w:ind w:firstLine="640" w:firstLineChars="200"/>
        <w:rPr>
          <w:rFonts w:eastAsia="仿宋_GB2312"/>
        </w:rPr>
      </w:pPr>
      <w:r>
        <w:rPr>
          <w:rFonts w:eastAsia="仿宋_GB2312"/>
        </w:rPr>
        <w:t>4．负责拟定和审核区党政机关、人大机关、各人民团体机关的机构设置、职能配置和人员编制的设置方案，并组织实施。负责协调审查各部门之间职能交叉的工作。</w:t>
      </w:r>
    </w:p>
    <w:p>
      <w:pPr>
        <w:spacing w:line="540" w:lineRule="exact"/>
        <w:ind w:firstLine="640" w:firstLineChars="200"/>
        <w:rPr>
          <w:rFonts w:eastAsia="仿宋_GB2312"/>
        </w:rPr>
      </w:pPr>
      <w:r>
        <w:rPr>
          <w:rFonts w:eastAsia="仿宋_GB2312"/>
        </w:rPr>
        <w:t>5．研究拟定本区事业单位管理体制与机构改革的总体方案。对本区财政预算管理事业编制进行总量控制。负责本区副科级（含副科级）以下事业单位设立、调整或撤销的审核报批工作。负责本区事业单位法人登记管理工作。</w:t>
      </w:r>
    </w:p>
    <w:p>
      <w:pPr>
        <w:spacing w:line="540" w:lineRule="exact"/>
        <w:ind w:firstLine="640" w:firstLineChars="200"/>
        <w:rPr>
          <w:rFonts w:eastAsia="仿宋_GB2312"/>
        </w:rPr>
      </w:pPr>
      <w:r>
        <w:rPr>
          <w:rFonts w:eastAsia="仿宋_GB2312"/>
        </w:rPr>
        <w:t>6．负责本区各机关、事业单位及非营利性单位的中文网络域名工作；负责本区机构编制统计工作。负责本区各行政、事业单位在职人员编制备案管理工作。</w:t>
      </w:r>
    </w:p>
    <w:p>
      <w:pPr>
        <w:spacing w:line="540" w:lineRule="exact"/>
        <w:ind w:firstLine="640" w:firstLineChars="200"/>
        <w:rPr>
          <w:rFonts w:eastAsia="仿宋_GB2312"/>
        </w:rPr>
      </w:pPr>
      <w:r>
        <w:rPr>
          <w:rFonts w:eastAsia="仿宋_GB2312"/>
        </w:rPr>
        <w:t>7．承办区委和上级部门交办的其他工作。</w:t>
      </w:r>
    </w:p>
    <w:p>
      <w:pPr>
        <w:spacing w:line="540" w:lineRule="exact"/>
        <w:ind w:firstLine="643" w:firstLineChars="200"/>
        <w:rPr>
          <w:rFonts w:ascii="仿宋_GB2312" w:hAnsi="仿宋_GB2312" w:eastAsia="仿宋_GB2312" w:cs="仿宋_GB2312"/>
          <w:b/>
        </w:rPr>
      </w:pPr>
      <w:r>
        <w:rPr>
          <w:rFonts w:hint="eastAsia" w:ascii="仿宋_GB2312" w:hAnsi="仿宋_GB2312" w:eastAsia="仿宋_GB2312" w:cs="仿宋_GB2312"/>
          <w:b/>
        </w:rPr>
        <w:t>(三)事业单位登记管理局职责</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 xml:space="preserve">1. </w:t>
      </w:r>
      <w:r>
        <w:rPr>
          <w:rFonts w:hint="eastAsia" w:ascii="仿宋_GB2312" w:hAnsi="仿宋_GB2312" w:eastAsia="仿宋_GB2312" w:cs="仿宋_GB2312"/>
        </w:rPr>
        <w:t>贯彻执行国家和省、市关于事业单位登记管理的法律、法规、规章和政策，拟定本区事业单位登记管理的具体规定和办法。</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 xml:space="preserve">2. </w:t>
      </w:r>
      <w:r>
        <w:rPr>
          <w:rFonts w:hint="eastAsia" w:ascii="仿宋_GB2312" w:hAnsi="仿宋_GB2312" w:eastAsia="仿宋_GB2312" w:cs="仿宋_GB2312"/>
        </w:rPr>
        <w:t>依法保护本区核准登记或备案的事业单位有关登记事项的合法权益。</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 xml:space="preserve">3. </w:t>
      </w:r>
      <w:r>
        <w:rPr>
          <w:rFonts w:hint="eastAsia" w:ascii="仿宋_GB2312" w:hAnsi="仿宋_GB2312" w:eastAsia="仿宋_GB2312" w:cs="仿宋_GB2312"/>
        </w:rPr>
        <w:t>负责全区事业单位登记管理工作，指导全区事业单位的登记管理和开展法人治理结构建设、绩效评估和年度报告工作。</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 xml:space="preserve">4. </w:t>
      </w:r>
      <w:r>
        <w:rPr>
          <w:rFonts w:hint="eastAsia" w:ascii="仿宋_GB2312" w:hAnsi="仿宋_GB2312" w:eastAsia="仿宋_GB2312" w:cs="仿宋_GB2312"/>
        </w:rPr>
        <w:t>组织全区事业单位登记管理信息的统计和联网工作。</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 xml:space="preserve">5. </w:t>
      </w:r>
      <w:r>
        <w:rPr>
          <w:rFonts w:hint="eastAsia" w:ascii="仿宋_GB2312" w:hAnsi="仿宋_GB2312" w:eastAsia="仿宋_GB2312" w:cs="仿宋_GB2312"/>
        </w:rPr>
        <w:t>协调有关部门做好全区事业单位 “公益”中文域名网上注册、管理工作。</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bCs/>
        </w:rPr>
        <w:t>6.</w:t>
      </w:r>
      <w:r>
        <w:rPr>
          <w:rFonts w:hint="eastAsia" w:ascii="仿宋_GB2312" w:hAnsi="仿宋_GB2312" w:eastAsia="仿宋_GB2312" w:cs="仿宋_GB2312"/>
        </w:rPr>
        <w:t xml:space="preserve"> 监督事业单位执行《条例》和《实施细则》，依法处理违反《条例》和《实施细则》的行为。</w:t>
      </w:r>
    </w:p>
    <w:p>
      <w:pPr>
        <w:widowControl/>
        <w:spacing w:line="540" w:lineRule="exact"/>
        <w:ind w:firstLine="643" w:firstLineChars="200"/>
        <w:jc w:val="left"/>
        <w:rPr>
          <w:rFonts w:hint="eastAsia" w:ascii="仿宋_GB2312" w:hAnsi="ˎ̥" w:eastAsia="仿宋_GB2312" w:cs="宋体"/>
          <w:kern w:val="0"/>
        </w:rPr>
      </w:pPr>
      <w:r>
        <w:rPr>
          <w:rFonts w:hint="eastAsia" w:ascii="仿宋_GB2312" w:hAnsi="仿宋_GB2312" w:eastAsia="仿宋_GB2312" w:cs="仿宋_GB2312"/>
          <w:b/>
          <w:bCs/>
        </w:rPr>
        <w:t xml:space="preserve">7. </w:t>
      </w:r>
      <w:r>
        <w:rPr>
          <w:rFonts w:hint="eastAsia" w:ascii="仿宋_GB2312" w:hAnsi="仿宋_GB2312" w:eastAsia="仿宋_GB2312" w:cs="仿宋_GB2312"/>
        </w:rPr>
        <w:t>承办区委、区政府和上级部门交办的其他工作。</w:t>
      </w:r>
    </w:p>
    <w:p>
      <w:pPr>
        <w:spacing w:line="540" w:lineRule="exact"/>
        <w:ind w:firstLine="643" w:firstLineChars="200"/>
        <w:rPr>
          <w:rFonts w:ascii="仿宋_GB2312" w:hAnsi="仿宋_GB2312" w:eastAsia="仿宋_GB2312" w:cs="仿宋_GB2312"/>
        </w:rPr>
      </w:pPr>
      <w:r>
        <w:rPr>
          <w:rFonts w:hint="eastAsia" w:ascii="仿宋_GB2312" w:hAnsi="仿宋_GB2312" w:eastAsia="仿宋_GB2312" w:cs="仿宋_GB2312"/>
          <w:b/>
        </w:rPr>
        <w:t>(四)老干部局主要职责</w:t>
      </w:r>
    </w:p>
    <w:p>
      <w:pPr>
        <w:spacing w:line="540" w:lineRule="exact"/>
        <w:ind w:firstLine="643" w:firstLineChars="200"/>
        <w:rPr>
          <w:rFonts w:ascii="仿宋_GB2312" w:eastAsia="仿宋_GB2312"/>
        </w:rPr>
      </w:pPr>
      <w:r>
        <w:rPr>
          <w:rFonts w:hint="eastAsia" w:ascii="仿宋_GB2312" w:eastAsia="仿宋_GB2312"/>
          <w:b/>
          <w:bCs/>
        </w:rPr>
        <w:t>1.</w:t>
      </w:r>
      <w:r>
        <w:rPr>
          <w:rFonts w:hint="eastAsia" w:ascii="仿宋_GB2312" w:eastAsia="仿宋_GB2312"/>
        </w:rPr>
        <w:t>贯彻执行党中央和省委、市委关于老干部工作的政策，结合我区的实际，负责做好离休老干部的管理与服务工作和副科级以上退休干部有关政治生活待遇的落实。</w:t>
      </w:r>
    </w:p>
    <w:p>
      <w:pPr>
        <w:spacing w:line="540" w:lineRule="exact"/>
        <w:ind w:firstLine="643" w:firstLineChars="200"/>
        <w:rPr>
          <w:rFonts w:ascii="仿宋_GB2312" w:eastAsia="仿宋_GB2312"/>
        </w:rPr>
      </w:pPr>
      <w:r>
        <w:rPr>
          <w:rFonts w:hint="eastAsia" w:ascii="仿宋_GB2312" w:eastAsia="仿宋_GB2312"/>
          <w:b/>
          <w:bCs/>
        </w:rPr>
        <w:t>2.</w:t>
      </w:r>
      <w:r>
        <w:rPr>
          <w:rFonts w:hint="eastAsia" w:ascii="仿宋_GB2312" w:eastAsia="仿宋_GB2312"/>
        </w:rPr>
        <w:t>负责指导、检查、督促和协调有关单位落实离休干部的政治、生活待遇。</w:t>
      </w:r>
    </w:p>
    <w:p>
      <w:pPr>
        <w:spacing w:line="540" w:lineRule="exact"/>
        <w:ind w:firstLine="643" w:firstLineChars="200"/>
        <w:rPr>
          <w:rFonts w:ascii="仿宋_GB2312" w:eastAsia="仿宋_GB2312"/>
        </w:rPr>
      </w:pPr>
      <w:r>
        <w:rPr>
          <w:rFonts w:hint="eastAsia" w:ascii="仿宋_GB2312" w:eastAsia="仿宋_GB2312"/>
          <w:b/>
          <w:bCs/>
        </w:rPr>
        <w:t>3.</w:t>
      </w:r>
      <w:r>
        <w:rPr>
          <w:rFonts w:hint="eastAsia" w:ascii="仿宋_GB2312" w:eastAsia="仿宋_GB2312"/>
        </w:rPr>
        <w:t>负责全区老干部工作方面的调查研究，向区委、区政府提供有关信息情况。拟定全区老干部工作政策，并组织实施。</w:t>
      </w:r>
    </w:p>
    <w:p>
      <w:pPr>
        <w:spacing w:line="540" w:lineRule="exact"/>
        <w:ind w:firstLine="643" w:firstLineChars="200"/>
        <w:rPr>
          <w:rFonts w:ascii="仿宋_GB2312" w:eastAsia="仿宋_GB2312"/>
        </w:rPr>
      </w:pPr>
      <w:r>
        <w:rPr>
          <w:rFonts w:hint="eastAsia" w:ascii="仿宋_GB2312" w:eastAsia="仿宋_GB2312"/>
          <w:b/>
          <w:bCs/>
        </w:rPr>
        <w:t>4.</w:t>
      </w:r>
      <w:r>
        <w:rPr>
          <w:rFonts w:hint="eastAsia" w:ascii="仿宋_GB2312" w:eastAsia="仿宋_GB2312"/>
        </w:rPr>
        <w:t>抓好全区离退休老干部支部建设，引导老干部发挥作用，协助有关部门做好老干部的思想政治工作。</w:t>
      </w:r>
    </w:p>
    <w:p>
      <w:pPr>
        <w:spacing w:line="540" w:lineRule="exact"/>
        <w:ind w:firstLine="643" w:firstLineChars="200"/>
        <w:rPr>
          <w:rFonts w:ascii="仿宋_GB2312" w:eastAsia="仿宋_GB2312"/>
        </w:rPr>
      </w:pPr>
      <w:r>
        <w:rPr>
          <w:rFonts w:hint="eastAsia" w:ascii="仿宋_GB2312" w:eastAsia="仿宋_GB2312"/>
          <w:b/>
          <w:bCs/>
        </w:rPr>
        <w:t>5.</w:t>
      </w:r>
      <w:r>
        <w:rPr>
          <w:rFonts w:hint="eastAsia" w:ascii="仿宋_GB2312" w:eastAsia="仿宋_GB2312"/>
        </w:rPr>
        <w:t>指导全区老干部活动场所建设和开展各项有益活动，利用村（社区）资源为离休干部搞好服务，让离休干部就近学习、就近活动、就近得到关心照顾、就近发挥作用。</w:t>
      </w:r>
    </w:p>
    <w:p>
      <w:pPr>
        <w:spacing w:line="540" w:lineRule="exact"/>
        <w:ind w:firstLine="643" w:firstLineChars="200"/>
        <w:rPr>
          <w:rFonts w:ascii="仿宋_GB2312" w:eastAsia="仿宋_GB2312"/>
        </w:rPr>
      </w:pPr>
      <w:r>
        <w:rPr>
          <w:rFonts w:hint="eastAsia" w:ascii="仿宋_GB2312" w:eastAsia="仿宋_GB2312"/>
          <w:b/>
          <w:bCs/>
        </w:rPr>
        <w:t>6.</w:t>
      </w:r>
      <w:r>
        <w:rPr>
          <w:rFonts w:hint="eastAsia" w:ascii="仿宋_GB2312" w:eastAsia="仿宋_GB2312"/>
        </w:rPr>
        <w:t>负责管理关心下一代工作委员会办公室。</w:t>
      </w:r>
    </w:p>
    <w:p>
      <w:pPr>
        <w:widowControl/>
        <w:spacing w:line="540" w:lineRule="exact"/>
        <w:ind w:firstLine="643" w:firstLineChars="200"/>
        <w:jc w:val="left"/>
        <w:rPr>
          <w:rFonts w:hint="eastAsia" w:ascii="仿宋_GB2312" w:hAnsi="ˎ̥" w:eastAsia="仿宋_GB2312" w:cs="宋体"/>
          <w:kern w:val="0"/>
        </w:rPr>
      </w:pPr>
      <w:r>
        <w:rPr>
          <w:rFonts w:hint="eastAsia" w:ascii="仿宋_GB2312" w:eastAsia="仿宋_GB2312"/>
          <w:b/>
          <w:bCs/>
        </w:rPr>
        <w:t>7.</w:t>
      </w:r>
      <w:r>
        <w:rPr>
          <w:rFonts w:hint="eastAsia" w:ascii="仿宋_GB2312" w:eastAsia="仿宋_GB2312"/>
        </w:rPr>
        <w:t>承办区委、区政府及上级有关部门交办的工作。</w:t>
      </w:r>
    </w:p>
    <w:p>
      <w:pPr>
        <w:spacing w:line="540" w:lineRule="exact"/>
        <w:ind w:firstLine="640" w:firstLineChars="200"/>
        <w:rPr>
          <w:rFonts w:eastAsia="仿宋_GB2312"/>
        </w:rPr>
      </w:pPr>
    </w:p>
    <w:p>
      <w:pPr>
        <w:spacing w:line="540" w:lineRule="exact"/>
        <w:ind w:firstLine="640" w:firstLineChars="200"/>
        <w:rPr>
          <w:rFonts w:eastAsia="仿宋_GB2312"/>
        </w:rPr>
      </w:pPr>
    </w:p>
    <w:p>
      <w:pPr>
        <w:ind w:firstLine="640" w:firstLineChars="200"/>
        <w:rPr>
          <w:rFonts w:ascii="黑体" w:hAnsi="黑体" w:eastAsia="黑体" w:cs="黑体"/>
        </w:rPr>
      </w:pPr>
    </w:p>
    <w:p>
      <w:pPr>
        <w:ind w:firstLine="640" w:firstLineChars="200"/>
        <w:rPr>
          <w:rFonts w:ascii="黑体" w:hAnsi="黑体" w:eastAsia="黑体" w:cs="黑体"/>
        </w:rPr>
      </w:pPr>
      <w:bookmarkStart w:id="7" w:name="_Toc24059_WPSOffice_Level2"/>
      <w:bookmarkStart w:id="8" w:name="_Toc24474_WPSOffice_Level2"/>
      <w:bookmarkStart w:id="9" w:name="_Toc17796_WPSOffice_Level2"/>
      <w:bookmarkStart w:id="10" w:name="_Toc4833_WPSOffice_Level2"/>
      <w:bookmarkStart w:id="11" w:name="_Toc6572_WPSOffice_Level2"/>
      <w:r>
        <w:rPr>
          <w:rFonts w:hint="eastAsia" w:ascii="黑体" w:hAnsi="黑体" w:eastAsia="黑体" w:cs="黑体"/>
        </w:rPr>
        <w:t>二、机构设置</w:t>
      </w:r>
      <w:bookmarkEnd w:id="7"/>
      <w:bookmarkEnd w:id="8"/>
      <w:bookmarkEnd w:id="9"/>
      <w:bookmarkEnd w:id="10"/>
      <w:bookmarkEnd w:id="11"/>
    </w:p>
    <w:p>
      <w:pPr>
        <w:ind w:firstLine="640" w:firstLineChars="200"/>
        <w:rPr>
          <w:rFonts w:hint="eastAsia" w:ascii="仿宋_GB2312" w:hAnsi="ˎ̥" w:eastAsia="仿宋_GB2312"/>
        </w:rPr>
      </w:pPr>
      <w:r>
        <w:rPr>
          <w:rFonts w:hint="eastAsia" w:ascii="仿宋_GB2312" w:hAnsi="ˎ̥" w:eastAsia="仿宋_GB2312"/>
        </w:rPr>
        <w:t>纳入区委组织部部门2018年度部门决算编制范围的二级预算单位包括：</w:t>
      </w:r>
    </w:p>
    <w:p>
      <w:pPr>
        <w:ind w:firstLine="640" w:firstLineChars="200"/>
        <w:rPr>
          <w:rFonts w:ascii="楷体" w:hAnsi="楷体" w:eastAsia="楷体" w:cs="楷体"/>
        </w:rPr>
      </w:pPr>
      <w:bookmarkStart w:id="12" w:name="_Toc25738_WPSOffice_Level2"/>
      <w:bookmarkStart w:id="13" w:name="_Toc24421_WPSOffice_Level2"/>
      <w:r>
        <w:rPr>
          <w:rFonts w:hint="eastAsia" w:ascii="楷体" w:hAnsi="楷体" w:eastAsia="楷体" w:cs="楷体"/>
        </w:rPr>
        <w:t>（一）区委组织部部门本级</w:t>
      </w:r>
      <w:bookmarkEnd w:id="12"/>
      <w:bookmarkEnd w:id="13"/>
    </w:p>
    <w:p>
      <w:pPr>
        <w:ind w:firstLine="640" w:firstLineChars="200"/>
        <w:rPr>
          <w:rFonts w:ascii="楷体" w:hAnsi="楷体" w:eastAsia="楷体" w:cs="楷体"/>
        </w:rPr>
      </w:pPr>
      <w:r>
        <w:rPr>
          <w:rFonts w:hint="eastAsia" w:ascii="楷体" w:hAnsi="楷体" w:eastAsia="楷体" w:cs="楷体"/>
        </w:rPr>
        <w:t>（二）</w:t>
      </w:r>
      <w:r>
        <w:rPr>
          <w:rFonts w:eastAsia="楷体_GB2312"/>
          <w:b/>
        </w:rPr>
        <w:t>机构编制委员会办公室</w:t>
      </w:r>
      <w:r>
        <w:rPr>
          <w:rFonts w:hint="eastAsia" w:ascii="楷体" w:hAnsi="楷体" w:eastAsia="楷体" w:cs="楷体"/>
        </w:rPr>
        <w:t>、</w:t>
      </w:r>
      <w:r>
        <w:rPr>
          <w:rFonts w:hint="eastAsia" w:ascii="仿宋_GB2312" w:hAnsi="仿宋_GB2312" w:eastAsia="仿宋_GB2312" w:cs="仿宋_GB2312"/>
          <w:b/>
        </w:rPr>
        <w:t>事业单位登记管理局、老干部局</w:t>
      </w:r>
    </w:p>
    <w:p>
      <w:pPr>
        <w:jc w:val="center"/>
        <w:rPr>
          <w:rFonts w:hint="eastAsia" w:ascii="黑体" w:hAnsi="ˎ̥" w:eastAsia="黑体"/>
        </w:rPr>
      </w:pPr>
      <w:bookmarkStart w:id="14" w:name="_Toc28253_WPSOffice_Level1"/>
      <w:bookmarkStart w:id="15" w:name="_Toc8164_WPSOffice_Level1"/>
      <w:bookmarkStart w:id="16" w:name="_Toc30451_WPSOffice_Level1"/>
      <w:bookmarkStart w:id="17" w:name="_Toc30690_WPSOffice_Level1"/>
      <w:bookmarkStart w:id="18" w:name="_Toc6234_WPSOffice_Level1"/>
      <w:bookmarkStart w:id="19" w:name="_Toc15521_WPSOffice_Level1"/>
      <w:bookmarkStart w:id="20" w:name="_Toc6211_WPSOffice_Level2"/>
      <w:bookmarkStart w:id="21" w:name="_Toc8867_WPSOffice_Level2"/>
      <w:bookmarkStart w:id="22" w:name="_Toc32695_WPSOffice_Level2"/>
      <w:bookmarkStart w:id="23" w:name="_Toc32472_WPSOffice_Level2"/>
      <w:bookmarkStart w:id="24" w:name="_Toc4029_WPSOffice_Level2"/>
      <w:bookmarkStart w:id="25" w:name="_Toc11518_WPSOffice_Level2"/>
      <w:r>
        <w:rPr>
          <w:rFonts w:hint="eastAsia" w:ascii="黑体" w:hAnsi="ˎ̥" w:eastAsia="黑体"/>
        </w:rPr>
        <w:t>第二部分 区委组织部部门2018年度部门决算公开报表</w:t>
      </w:r>
      <w:bookmarkEnd w:id="14"/>
      <w:bookmarkEnd w:id="15"/>
      <w:bookmarkEnd w:id="16"/>
      <w:bookmarkEnd w:id="17"/>
      <w:bookmarkEnd w:id="18"/>
      <w:bookmarkEnd w:id="19"/>
    </w:p>
    <w:p>
      <w:pPr>
        <w:jc w:val="center"/>
        <w:rPr>
          <w:rFonts w:hint="eastAsia" w:ascii="黑体" w:hAnsi="ˎ̥" w:eastAsia="黑体"/>
        </w:rPr>
      </w:pPr>
    </w:p>
    <w:p>
      <w:pPr>
        <w:ind w:firstLine="645"/>
        <w:rPr>
          <w:rFonts w:ascii="黑体" w:hAnsi="黑体" w:eastAsia="黑体" w:cs="黑体"/>
        </w:rPr>
      </w:pPr>
      <w:r>
        <w:rPr>
          <w:rFonts w:hint="eastAsia" w:ascii="黑体" w:hAnsi="黑体" w:eastAsia="黑体" w:cs="黑体"/>
        </w:rPr>
        <w:t>一、收入支出决算公开表（见正文附件）</w:t>
      </w:r>
      <w:bookmarkEnd w:id="20"/>
      <w:bookmarkEnd w:id="21"/>
      <w:bookmarkEnd w:id="22"/>
      <w:r>
        <w:rPr>
          <w:rFonts w:hint="eastAsia" w:ascii="黑体" w:hAnsi="黑体" w:eastAsia="黑体" w:cs="黑体"/>
        </w:rPr>
        <w:t>。</w:t>
      </w:r>
      <w:bookmarkEnd w:id="23"/>
      <w:bookmarkEnd w:id="24"/>
      <w:bookmarkEnd w:id="25"/>
    </w:p>
    <w:p>
      <w:pPr>
        <w:ind w:firstLine="645"/>
        <w:rPr>
          <w:rFonts w:ascii="黑体" w:hAnsi="黑体" w:eastAsia="黑体" w:cs="黑体"/>
        </w:rPr>
      </w:pPr>
      <w:bookmarkStart w:id="26" w:name="_Toc26621_WPSOffice_Level2"/>
      <w:bookmarkStart w:id="27" w:name="_Toc25608_WPSOffice_Level2"/>
      <w:bookmarkStart w:id="28" w:name="_Toc23139_WPSOffice_Level2"/>
      <w:bookmarkStart w:id="29" w:name="_Toc30334_WPSOffice_Level2"/>
      <w:bookmarkStart w:id="30" w:name="_Toc28622_WPSOffice_Level2"/>
      <w:bookmarkStart w:id="31" w:name="_Toc14349_WPSOffice_Level2"/>
      <w:r>
        <w:rPr>
          <w:rFonts w:hint="eastAsia" w:ascii="黑体" w:hAnsi="黑体" w:eastAsia="黑体" w:cs="黑体"/>
        </w:rPr>
        <w:t>二、收入决算公开表（见正文附件）</w:t>
      </w:r>
      <w:bookmarkEnd w:id="26"/>
      <w:bookmarkEnd w:id="27"/>
      <w:bookmarkEnd w:id="28"/>
      <w:r>
        <w:rPr>
          <w:rFonts w:hint="eastAsia" w:ascii="黑体" w:hAnsi="黑体" w:eastAsia="黑体" w:cs="黑体"/>
        </w:rPr>
        <w:t>。</w:t>
      </w:r>
      <w:bookmarkEnd w:id="29"/>
      <w:bookmarkEnd w:id="30"/>
      <w:bookmarkEnd w:id="31"/>
    </w:p>
    <w:p>
      <w:pPr>
        <w:ind w:firstLine="645"/>
        <w:rPr>
          <w:rFonts w:ascii="黑体" w:hAnsi="黑体" w:eastAsia="黑体" w:cs="黑体"/>
        </w:rPr>
      </w:pPr>
      <w:bookmarkStart w:id="32" w:name="_Toc17626_WPSOffice_Level2"/>
      <w:bookmarkStart w:id="33" w:name="_Toc3262_WPSOffice_Level2"/>
      <w:bookmarkStart w:id="34" w:name="_Toc17858_WPSOffice_Level2"/>
      <w:bookmarkStart w:id="35" w:name="_Toc13854_WPSOffice_Level2"/>
      <w:bookmarkStart w:id="36" w:name="_Toc14658_WPSOffice_Level2"/>
      <w:bookmarkStart w:id="37" w:name="_Toc5489_WPSOffice_Level2"/>
      <w:r>
        <w:rPr>
          <w:rFonts w:hint="eastAsia" w:ascii="黑体" w:hAnsi="黑体" w:eastAsia="黑体" w:cs="黑体"/>
        </w:rPr>
        <w:t>三、支出决算公开表（见正文附件）</w:t>
      </w:r>
      <w:bookmarkEnd w:id="32"/>
      <w:bookmarkEnd w:id="33"/>
      <w:bookmarkEnd w:id="34"/>
      <w:r>
        <w:rPr>
          <w:rFonts w:hint="eastAsia" w:ascii="黑体" w:hAnsi="黑体" w:eastAsia="黑体" w:cs="黑体"/>
        </w:rPr>
        <w:t>。</w:t>
      </w:r>
      <w:bookmarkEnd w:id="35"/>
      <w:bookmarkEnd w:id="36"/>
      <w:bookmarkEnd w:id="37"/>
    </w:p>
    <w:p>
      <w:pPr>
        <w:ind w:firstLine="645"/>
        <w:rPr>
          <w:rFonts w:ascii="黑体" w:hAnsi="黑体" w:eastAsia="黑体" w:cs="黑体"/>
        </w:rPr>
      </w:pPr>
      <w:bookmarkStart w:id="38" w:name="_Toc23591_WPSOffice_Level2"/>
      <w:bookmarkStart w:id="39" w:name="_Toc13701_WPSOffice_Level2"/>
      <w:bookmarkStart w:id="40" w:name="_Toc21415_WPSOffice_Level2"/>
      <w:bookmarkStart w:id="41" w:name="_Toc7988_WPSOffice_Level2"/>
      <w:bookmarkStart w:id="42" w:name="_Toc23493_WPSOffice_Level2"/>
      <w:bookmarkStart w:id="43" w:name="_Toc4265_WPSOffice_Level2"/>
      <w:r>
        <w:rPr>
          <w:rFonts w:hint="eastAsia" w:ascii="黑体" w:hAnsi="黑体" w:eastAsia="黑体" w:cs="黑体"/>
        </w:rPr>
        <w:t>四、财政拨款收入支出决算公开表（见正文附件）</w:t>
      </w:r>
      <w:bookmarkEnd w:id="38"/>
      <w:bookmarkEnd w:id="39"/>
      <w:bookmarkEnd w:id="40"/>
      <w:r>
        <w:rPr>
          <w:rFonts w:hint="eastAsia" w:ascii="黑体" w:hAnsi="黑体" w:eastAsia="黑体" w:cs="黑体"/>
        </w:rPr>
        <w:t>。</w:t>
      </w:r>
      <w:bookmarkEnd w:id="41"/>
      <w:bookmarkEnd w:id="42"/>
      <w:bookmarkEnd w:id="43"/>
    </w:p>
    <w:p>
      <w:pPr>
        <w:ind w:firstLine="645"/>
        <w:rPr>
          <w:rFonts w:ascii="黑体" w:hAnsi="黑体" w:eastAsia="黑体" w:cs="黑体"/>
        </w:rPr>
      </w:pPr>
      <w:bookmarkStart w:id="44" w:name="_Toc25166_WPSOffice_Level2"/>
      <w:bookmarkStart w:id="45" w:name="_Toc22783_WPSOffice_Level2"/>
      <w:bookmarkStart w:id="46" w:name="_Toc23829_WPSOffice_Level2"/>
      <w:bookmarkStart w:id="47" w:name="_Toc7879_WPSOffice_Level2"/>
      <w:bookmarkStart w:id="48" w:name="_Toc2158_WPSOffice_Level2"/>
      <w:bookmarkStart w:id="49" w:name="_Toc13516_WPSOffice_Level2"/>
      <w:r>
        <w:rPr>
          <w:rFonts w:hint="eastAsia" w:ascii="黑体" w:hAnsi="黑体" w:eastAsia="黑体" w:cs="黑体"/>
        </w:rPr>
        <w:t>五、一般公共预算财政拨款收入支出决算公开表</w:t>
      </w:r>
      <w:bookmarkEnd w:id="44"/>
      <w:bookmarkEnd w:id="45"/>
      <w:bookmarkEnd w:id="46"/>
      <w:bookmarkEnd w:id="47"/>
    </w:p>
    <w:p>
      <w:pPr>
        <w:ind w:firstLine="1302" w:firstLineChars="407"/>
        <w:rPr>
          <w:rFonts w:ascii="黑体" w:hAnsi="黑体" w:eastAsia="黑体" w:cs="黑体"/>
        </w:rPr>
      </w:pPr>
      <w:r>
        <w:rPr>
          <w:rFonts w:hint="eastAsia" w:ascii="黑体" w:hAnsi="黑体" w:eastAsia="黑体" w:cs="黑体"/>
        </w:rPr>
        <w:t>（见正文附件）</w:t>
      </w:r>
      <w:bookmarkEnd w:id="48"/>
      <w:bookmarkEnd w:id="49"/>
      <w:r>
        <w:rPr>
          <w:rFonts w:hint="eastAsia" w:ascii="黑体" w:hAnsi="黑体" w:eastAsia="黑体" w:cs="黑体"/>
        </w:rPr>
        <w:t>。</w:t>
      </w:r>
    </w:p>
    <w:p>
      <w:pPr>
        <w:ind w:firstLine="645"/>
        <w:rPr>
          <w:rFonts w:ascii="黑体" w:hAnsi="黑体" w:eastAsia="黑体" w:cs="黑体"/>
        </w:rPr>
      </w:pPr>
      <w:bookmarkStart w:id="50" w:name="_Toc2632_WPSOffice_Level2"/>
      <w:bookmarkStart w:id="51" w:name="_Toc25362_WPSOffice_Level2"/>
      <w:bookmarkStart w:id="52" w:name="_Toc17283_WPSOffice_Level2"/>
      <w:bookmarkStart w:id="53" w:name="_Toc17833_WPSOffice_Level2"/>
      <w:bookmarkStart w:id="54" w:name="_Toc5343_WPSOffice_Level2"/>
      <w:bookmarkStart w:id="55" w:name="_Toc8373_WPSOffice_Level2"/>
      <w:r>
        <w:rPr>
          <w:rFonts w:hint="eastAsia" w:ascii="黑体" w:hAnsi="黑体" w:eastAsia="黑体" w:cs="黑体"/>
        </w:rPr>
        <w:t>六、一般公共预算财政拨款基本支出决算公开表</w:t>
      </w:r>
      <w:bookmarkEnd w:id="50"/>
      <w:bookmarkEnd w:id="51"/>
      <w:bookmarkEnd w:id="52"/>
      <w:bookmarkEnd w:id="53"/>
      <w:bookmarkEnd w:id="54"/>
      <w:bookmarkEnd w:id="55"/>
    </w:p>
    <w:p>
      <w:pPr>
        <w:ind w:firstLine="1280" w:firstLineChars="400"/>
        <w:rPr>
          <w:rFonts w:ascii="黑体" w:hAnsi="黑体" w:eastAsia="黑体" w:cs="黑体"/>
        </w:rPr>
      </w:pPr>
      <w:r>
        <w:rPr>
          <w:rFonts w:hint="eastAsia" w:ascii="黑体" w:hAnsi="黑体" w:eastAsia="黑体" w:cs="黑体"/>
        </w:rPr>
        <w:t>（见正文附件）。</w:t>
      </w:r>
    </w:p>
    <w:p>
      <w:pPr>
        <w:ind w:left="1453" w:leftChars="304" w:hanging="480" w:hangingChars="150"/>
        <w:rPr>
          <w:rFonts w:ascii="黑体" w:hAnsi="黑体" w:eastAsia="黑体" w:cs="黑体"/>
        </w:rPr>
      </w:pPr>
      <w:bookmarkStart w:id="56" w:name="_Toc11799_WPSOffice_Level2"/>
      <w:bookmarkStart w:id="57" w:name="_Toc13345_WPSOffice_Level2"/>
      <w:bookmarkStart w:id="58" w:name="_Toc5594_WPSOffice_Level2"/>
      <w:bookmarkStart w:id="59" w:name="_Toc1533_WPSOffice_Level2"/>
      <w:bookmarkStart w:id="60" w:name="_Toc6020_WPSOffice_Level2"/>
      <w:bookmarkStart w:id="61" w:name="_Toc21310_WPSOffice_Level2"/>
      <w:r>
        <w:rPr>
          <w:rFonts w:hint="eastAsia" w:ascii="黑体" w:hAnsi="黑体" w:eastAsia="黑体" w:cs="黑体"/>
        </w:rPr>
        <w:t>七、政府性基金预算财政拨款收入支出决算公开表</w:t>
      </w:r>
      <w:bookmarkEnd w:id="56"/>
      <w:bookmarkEnd w:id="57"/>
      <w:bookmarkEnd w:id="58"/>
      <w:bookmarkEnd w:id="59"/>
      <w:bookmarkEnd w:id="60"/>
      <w:bookmarkEnd w:id="61"/>
    </w:p>
    <w:p>
      <w:pPr>
        <w:rPr>
          <w:rFonts w:ascii="黑体" w:hAnsi="黑体" w:eastAsia="黑体" w:cs="黑体"/>
        </w:rPr>
      </w:pPr>
      <w:r>
        <w:rPr>
          <w:rFonts w:hint="eastAsia" w:ascii="黑体" w:hAnsi="黑体" w:eastAsia="黑体" w:cs="黑体"/>
        </w:rPr>
        <w:t xml:space="preserve">        （见正文附件）。</w:t>
      </w:r>
    </w:p>
    <w:p>
      <w:pPr>
        <w:rPr>
          <w:rFonts w:ascii="黑体" w:hAnsi="黑体" w:eastAsia="黑体" w:cs="黑体"/>
        </w:rPr>
      </w:pPr>
      <w:bookmarkStart w:id="62" w:name="_Toc9377_WPSOffice_Level2"/>
      <w:bookmarkStart w:id="63" w:name="_Toc29886_WPSOffice_Level2"/>
      <w:bookmarkStart w:id="64" w:name="_Toc19961_WPSOffice_Level2"/>
      <w:bookmarkStart w:id="65" w:name="_Toc1820_WPSOffice_Level2"/>
      <w:r>
        <w:rPr>
          <w:rFonts w:hint="eastAsia" w:ascii="黑体" w:hAnsi="黑体" w:eastAsia="黑体" w:cs="黑体"/>
        </w:rPr>
        <w:t xml:space="preserve">    八、一般公共预算财政拨款“三公”经费支出决算公开表</w:t>
      </w:r>
      <w:bookmarkEnd w:id="62"/>
      <w:bookmarkEnd w:id="63"/>
      <w:bookmarkEnd w:id="64"/>
      <w:bookmarkEnd w:id="65"/>
      <w:r>
        <w:rPr>
          <w:rFonts w:hint="eastAsia" w:ascii="黑体" w:hAnsi="黑体" w:eastAsia="黑体" w:cs="黑体"/>
        </w:rPr>
        <w:t>（见正文附件）。</w:t>
      </w:r>
    </w:p>
    <w:p>
      <w:pPr>
        <w:rPr>
          <w:rFonts w:ascii="黑体" w:hAnsi="黑体" w:eastAsia="黑体" w:cs="黑体"/>
          <w:w w:val="96"/>
        </w:rPr>
      </w:pPr>
      <w:r>
        <w:rPr>
          <w:rFonts w:hint="eastAsia" w:ascii="黑体" w:hAnsi="黑体" w:eastAsia="黑体" w:cs="黑体"/>
          <w:w w:val="96"/>
        </w:rPr>
        <w:t xml:space="preserve">    九、政府性基金预算财政拨款“三公”经费支出决算</w:t>
      </w:r>
    </w:p>
    <w:p>
      <w:pPr>
        <w:rPr>
          <w:rFonts w:ascii="黑体" w:hAnsi="黑体" w:eastAsia="黑体" w:cs="黑体"/>
        </w:rPr>
      </w:pPr>
      <w:r>
        <w:rPr>
          <w:rFonts w:hint="eastAsia" w:ascii="黑体" w:hAnsi="黑体" w:eastAsia="黑体" w:cs="黑体"/>
          <w:w w:val="96"/>
        </w:rPr>
        <w:t xml:space="preserve">        公开表</w:t>
      </w:r>
      <w:r>
        <w:rPr>
          <w:rFonts w:hint="eastAsia" w:ascii="黑体" w:hAnsi="黑体" w:eastAsia="黑体" w:cs="黑体"/>
        </w:rPr>
        <w:t>（见正文附件）。</w:t>
      </w:r>
    </w:p>
    <w:p>
      <w:pPr>
        <w:ind w:firstLine="640" w:firstLineChars="200"/>
        <w:rPr>
          <w:rFonts w:ascii="楷体" w:hAnsi="楷体" w:eastAsia="楷体" w:cs="楷体"/>
        </w:rPr>
      </w:pPr>
      <w:r>
        <w:rPr>
          <w:rFonts w:hint="eastAsia" w:ascii="黑体" w:hAnsi="黑体" w:eastAsia="黑体" w:cs="黑体"/>
        </w:rPr>
        <w:t>十、资产负债决算公开简表（见正文附件）。</w:t>
      </w:r>
    </w:p>
    <w:p>
      <w:pPr>
        <w:jc w:val="center"/>
        <w:rPr>
          <w:rFonts w:hint="eastAsia" w:ascii="黑体" w:hAnsi="ˎ̥" w:eastAsia="黑体"/>
        </w:rPr>
      </w:pPr>
      <w:bookmarkStart w:id="66" w:name="_Toc29683_WPSOffice_Level1"/>
      <w:bookmarkStart w:id="67" w:name="_Toc16686_WPSOffice_Level1"/>
      <w:bookmarkStart w:id="68" w:name="_Toc28629_WPSOffice_Level1"/>
      <w:bookmarkStart w:id="69" w:name="_Toc4402_WPSOffice_Level1"/>
      <w:bookmarkStart w:id="70" w:name="_Toc31264_WPSOffice_Level1"/>
      <w:bookmarkStart w:id="71" w:name="_Toc27590_WPSOffice_Level1"/>
      <w:r>
        <w:rPr>
          <w:rFonts w:hint="eastAsia" w:ascii="黑体" w:hAnsi="ˎ̥" w:eastAsia="黑体"/>
        </w:rPr>
        <w:t>第三部分  区委组织部2018年度部门决算情况说明</w:t>
      </w:r>
      <w:bookmarkEnd w:id="66"/>
      <w:bookmarkEnd w:id="67"/>
      <w:bookmarkEnd w:id="68"/>
      <w:bookmarkEnd w:id="69"/>
      <w:bookmarkEnd w:id="70"/>
      <w:bookmarkEnd w:id="71"/>
    </w:p>
    <w:p>
      <w:pPr>
        <w:widowControl/>
        <w:numPr>
          <w:ilvl w:val="0"/>
          <w:numId w:val="1"/>
        </w:numPr>
        <w:spacing w:before="100" w:beforeAutospacing="1" w:after="100" w:afterAutospacing="1"/>
        <w:ind w:firstLine="640" w:firstLineChars="200"/>
        <w:jc w:val="left"/>
        <w:rPr>
          <w:rFonts w:hint="eastAsia" w:ascii="仿宋_GB2312" w:hAnsi="ˎ̥" w:eastAsia="仿宋_GB2312" w:cs="宋体"/>
          <w:kern w:val="0"/>
        </w:rPr>
      </w:pPr>
      <w:r>
        <w:rPr>
          <w:rFonts w:hint="eastAsia" w:ascii="黑体" w:hAnsi="黑体" w:eastAsia="黑体" w:cs="黑体"/>
          <w:bCs/>
          <w:kern w:val="0"/>
        </w:rPr>
        <w:t>收入支出决算总体情况说明</w:t>
      </w:r>
      <w:r>
        <w:rPr>
          <w:rFonts w:ascii="宋体" w:hAnsi="宋体" w:cs="宋体"/>
          <w:kern w:val="0"/>
          <w:sz w:val="24"/>
          <w:szCs w:val="24"/>
        </w:rPr>
        <w:br w:type="textWrapping"/>
      </w:r>
      <w:r>
        <w:rPr>
          <w:rFonts w:hint="eastAsia" w:ascii="楷体_GB2312" w:hAnsi="ˎ̥" w:eastAsia="楷体_GB2312" w:cs="宋体"/>
          <w:kern w:val="0"/>
        </w:rPr>
        <w:t xml:space="preserve">    </w:t>
      </w:r>
      <w:r>
        <w:rPr>
          <w:rFonts w:hint="eastAsia" w:ascii="仿宋_GB2312" w:hAnsi="ˎ̥" w:eastAsia="仿宋_GB2312" w:cs="宋体"/>
          <w:kern w:val="0"/>
        </w:rPr>
        <w:t>2018年度收、支总计5495.48万元，与2017年度相比，收入、支出总计减少523.92万元，下降8.7%。主要原因：</w:t>
      </w:r>
      <w:r>
        <w:rPr>
          <w:rFonts w:hint="eastAsia" w:ascii="仿宋_GB2312" w:hAnsi="ˎ̥" w:eastAsia="仿宋_GB2312" w:cs="仿宋_GB2312"/>
          <w:kern w:val="0"/>
          <w:shd w:val="clear" w:color="auto" w:fill="FFFFFF"/>
          <w:lang w:bidi="ar"/>
        </w:rPr>
        <w:t>一是</w:t>
      </w:r>
      <w:r>
        <w:rPr>
          <w:rFonts w:hint="eastAsia" w:ascii="仿宋_GB2312" w:hAnsi="仿宋_GB2312" w:eastAsia="仿宋_GB2312" w:cs="仿宋_GB2312"/>
          <w:kern w:val="0"/>
          <w:shd w:val="clear" w:color="auto" w:fill="FFFFFF"/>
          <w:lang w:bidi="ar"/>
        </w:rPr>
        <w:t>人员调资调标；二是</w:t>
      </w:r>
      <w:r>
        <w:rPr>
          <w:rFonts w:hint="eastAsia" w:ascii="仿宋_GB2312" w:hAnsi="ˎ̥" w:eastAsia="仿宋_GB2312"/>
        </w:rPr>
        <w:t>认真贯彻落实中央“八项规定”精神和历行节约要求，减少支出。</w:t>
      </w:r>
      <w:r>
        <w:rPr>
          <w:rFonts w:hint="eastAsia" w:ascii="仿宋_GB2312" w:hAnsi="ˎ̥" w:eastAsia="仿宋_GB2312" w:cs="宋体"/>
          <w:kern w:val="0"/>
        </w:rPr>
        <w:t>用事业基金弥补收支差额0万元，较2017年度决算持平。年初结转结余1016.85元，主要是上年上级转移支付结转和上年结余，较2017年度决算数减少103.24万元，下降9.22%，主要原因是加快支出进度。结余分配0.00万元，较2017年度决算数持平。年末结转结余940.72万元，主要是项目资金结转结余，较2017年度决算数减少580.84万元，下降38.17%，主要原因是加快支出进度。</w:t>
      </w:r>
    </w:p>
    <w:p>
      <w:pPr>
        <w:widowControl/>
        <w:spacing w:before="100" w:beforeAutospacing="1" w:after="100" w:afterAutospacing="1"/>
        <w:jc w:val="left"/>
        <w:rPr>
          <w:rFonts w:ascii="宋体" w:hAnsi="宋体" w:cs="宋体"/>
          <w:kern w:val="0"/>
          <w:sz w:val="24"/>
          <w:szCs w:val="24"/>
        </w:rPr>
      </w:pPr>
      <w:r>
        <w:rPr>
          <w:rFonts w:hint="eastAsia" w:ascii="黑体" w:hAnsi="黑体" w:eastAsia="黑体" w:cs="黑体"/>
          <w:bCs/>
          <w:kern w:val="0"/>
        </w:rPr>
        <w:t>二、收入决算情况说明</w:t>
      </w:r>
      <w:r>
        <w:rPr>
          <w:rFonts w:ascii="宋体" w:hAnsi="宋体" w:cs="宋体"/>
          <w:kern w:val="0"/>
          <w:sz w:val="24"/>
          <w:szCs w:val="24"/>
        </w:rPr>
        <w:br w:type="textWrapping"/>
      </w:r>
      <w:r>
        <w:rPr>
          <w:rFonts w:hint="eastAsia" w:ascii="仿宋_GB2312" w:hAnsi="ˎ̥" w:eastAsia="仿宋_GB2312" w:cs="宋体"/>
          <w:kern w:val="0"/>
        </w:rPr>
        <w:t xml:space="preserve">    本年收入合计4478.63万元，其中：财政拨款收入4292.50万元，占95.84%；上级补助收入0.00万元，占0%；事业收入0.00万元，占0%；经营收入0.00 万元，占0%；附属单位上缴收入0.00万元，占0%；其他收入186.12万元，占4.16%。</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三、支出决算情况说明</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本年支出合计4554.75万元，其中：基本支出284.53万元，占6.24%；项目支出4270.22万元，占93.76%；上缴上级支出0.00万元，占0%；经营支出0.00万元，占0%；对附属单位补助支出0.00万元，占0%。</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四、财政拨款收入支出决算总体情况说明</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2018年度财政拨款收入、支出总计5308.98万元。与2017年度相比，财政拨款收入、支出总计各减少690.12万元，下降11.50%。主要原因：</w:t>
      </w:r>
      <w:r>
        <w:rPr>
          <w:rFonts w:hint="eastAsia" w:ascii="仿宋_GB2312" w:hAnsi="ˎ̥" w:eastAsia="仿宋_GB2312" w:cs="仿宋_GB2312"/>
          <w:kern w:val="0"/>
          <w:shd w:val="clear" w:color="auto" w:fill="FFFFFF"/>
          <w:lang w:bidi="ar"/>
        </w:rPr>
        <w:t>一是</w:t>
      </w:r>
      <w:r>
        <w:rPr>
          <w:rFonts w:hint="eastAsia" w:ascii="仿宋_GB2312" w:hAnsi="仿宋_GB2312" w:eastAsia="仿宋_GB2312" w:cs="仿宋_GB2312"/>
          <w:kern w:val="0"/>
          <w:shd w:val="clear" w:color="auto" w:fill="FFFFFF"/>
          <w:lang w:bidi="ar"/>
        </w:rPr>
        <w:t>人员调资调标；二是</w:t>
      </w:r>
      <w:r>
        <w:rPr>
          <w:rFonts w:hint="eastAsia" w:ascii="仿宋_GB2312" w:hAnsi="ˎ̥" w:eastAsia="仿宋_GB2312"/>
        </w:rPr>
        <w:t>认真贯彻落实中央“八项规定”精神和历行节约要求，减少支出。</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财政拨款年初结转结余1016.47万元，主要是项目支出进度缓慢，较2017年度年初决算数减少103.24万元，下降9.22%，主要原因是加快支出资金进度，财政拨款年末结转结余940.17万元，较2017年度年初决算数减少580.02万元，下降38.19%，主要是村（社区）办公大楼升级改造项目支出缓慢。</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五、一般公共预算财政拨款支出决算情况说明</w:t>
      </w:r>
    </w:p>
    <w:p>
      <w:pPr>
        <w:widowControl/>
        <w:spacing w:before="100" w:beforeAutospacing="1" w:after="100" w:afterAutospacing="1"/>
        <w:ind w:firstLine="640" w:firstLineChars="200"/>
        <w:jc w:val="left"/>
        <w:rPr>
          <w:rFonts w:ascii="宋体" w:hAnsi="宋体" w:cs="宋体"/>
          <w:kern w:val="0"/>
          <w:sz w:val="24"/>
          <w:szCs w:val="24"/>
        </w:rPr>
      </w:pPr>
      <w:bookmarkStart w:id="72" w:name="_Toc13694_WPSOffice_Level2"/>
      <w:bookmarkStart w:id="73" w:name="_Toc17398_WPSOffice_Level2"/>
      <w:bookmarkStart w:id="74" w:name="_Toc19665_WPSOffice_Level2"/>
      <w:bookmarkStart w:id="75" w:name="_Toc9989_WPSOffice_Level2"/>
      <w:bookmarkStart w:id="76" w:name="_Toc21737_WPSOffice_Level2"/>
      <w:bookmarkStart w:id="77" w:name="_Toc23005_WPSOffice_Level2"/>
      <w:r>
        <w:rPr>
          <w:rFonts w:hint="eastAsia" w:ascii="楷体" w:hAnsi="楷体" w:eastAsia="楷体" w:cs="楷体"/>
          <w:kern w:val="0"/>
        </w:rPr>
        <w:t>（一）一般公共预算财政拨款支出决算总体情况</w:t>
      </w:r>
      <w:bookmarkEnd w:id="72"/>
      <w:bookmarkEnd w:id="73"/>
      <w:r>
        <w:rPr>
          <w:rFonts w:hint="eastAsia" w:ascii="楷体" w:hAnsi="楷体" w:eastAsia="楷体" w:cs="楷体"/>
          <w:kern w:val="0"/>
        </w:rPr>
        <w:t>。</w:t>
      </w:r>
      <w:bookmarkEnd w:id="74"/>
      <w:bookmarkEnd w:id="75"/>
      <w:bookmarkEnd w:id="76"/>
      <w:bookmarkEnd w:id="77"/>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2018年度一般公共预算财政拨款支出4368.8</w:t>
      </w:r>
      <w:r>
        <w:rPr>
          <w:rFonts w:hint="eastAsia" w:ascii="仿宋_GB2312" w:hAnsi="ˎ̥" w:eastAsia="仿宋_GB2312" w:cs="宋体"/>
          <w:kern w:val="0"/>
          <w:lang w:val="en-US" w:eastAsia="zh-CN"/>
        </w:rPr>
        <w:t>1</w:t>
      </w:r>
      <w:r>
        <w:rPr>
          <w:rFonts w:hint="eastAsia" w:ascii="仿宋_GB2312" w:hAnsi="ˎ̥" w:eastAsia="仿宋_GB2312" w:cs="宋体"/>
          <w:kern w:val="0"/>
        </w:rPr>
        <w:t>万元，占本年支出合计的95.91%。与2017年度相比，财政拨款支出减少109.10万元，下降2.44%，主要原因：一是村（社区）办公大楼升级改造项目支出。二是新增预算项目。</w:t>
      </w:r>
    </w:p>
    <w:p>
      <w:pPr>
        <w:widowControl/>
        <w:spacing w:before="100" w:beforeAutospacing="1" w:after="100" w:afterAutospacing="1"/>
        <w:ind w:firstLine="640" w:firstLineChars="200"/>
        <w:jc w:val="left"/>
        <w:rPr>
          <w:rFonts w:ascii="宋体" w:hAnsi="宋体" w:cs="宋体"/>
          <w:kern w:val="0"/>
          <w:sz w:val="24"/>
          <w:szCs w:val="24"/>
        </w:rPr>
      </w:pPr>
      <w:bookmarkStart w:id="78" w:name="_Toc18793_WPSOffice_Level2"/>
      <w:bookmarkStart w:id="79" w:name="_Toc2711_WPSOffice_Level2"/>
      <w:bookmarkStart w:id="80" w:name="_Toc19075_WPSOffice_Level2"/>
      <w:bookmarkStart w:id="81" w:name="_Toc27767_WPSOffice_Level2"/>
      <w:bookmarkStart w:id="82" w:name="_Toc23864_WPSOffice_Level2"/>
      <w:bookmarkStart w:id="83" w:name="_Toc19535_WPSOffice_Level2"/>
      <w:r>
        <w:rPr>
          <w:rFonts w:hint="eastAsia" w:ascii="楷体" w:hAnsi="楷体" w:eastAsia="楷体" w:cs="楷体"/>
          <w:kern w:val="0"/>
        </w:rPr>
        <w:t>（二）财政拨款支出决算结构情况</w:t>
      </w:r>
      <w:bookmarkEnd w:id="78"/>
      <w:bookmarkEnd w:id="79"/>
      <w:r>
        <w:rPr>
          <w:rFonts w:hint="eastAsia" w:ascii="楷体" w:hAnsi="楷体" w:eastAsia="楷体" w:cs="楷体"/>
          <w:kern w:val="0"/>
        </w:rPr>
        <w:t>。</w:t>
      </w:r>
      <w:bookmarkEnd w:id="80"/>
      <w:bookmarkEnd w:id="81"/>
      <w:bookmarkEnd w:id="82"/>
      <w:bookmarkEnd w:id="83"/>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2018年度一般公共预算财政拨款支出4368.81万元，主要用于以下方面：</w:t>
      </w:r>
      <w:r>
        <w:rPr>
          <w:rFonts w:hint="eastAsia" w:ascii="仿宋_GB2312" w:hAnsi="ˎ̥" w:eastAsia="仿宋_GB2312" w:cs="宋体"/>
          <w:b/>
          <w:kern w:val="0"/>
        </w:rPr>
        <w:t>一般公共服务（类）</w:t>
      </w:r>
      <w:r>
        <w:rPr>
          <w:rFonts w:hint="eastAsia" w:ascii="仿宋_GB2312" w:hAnsi="ˎ̥" w:eastAsia="仿宋_GB2312" w:cs="宋体"/>
          <w:kern w:val="0"/>
        </w:rPr>
        <w:t>支出894.99万元，占20.49%；</w:t>
      </w:r>
      <w:r>
        <w:rPr>
          <w:rFonts w:hint="eastAsia" w:ascii="仿宋_GB2312" w:hAnsi="ˎ̥" w:eastAsia="仿宋_GB2312" w:cs="宋体"/>
          <w:b/>
          <w:bCs/>
          <w:kern w:val="0"/>
        </w:rPr>
        <w:t>教育（类）</w:t>
      </w:r>
      <w:r>
        <w:rPr>
          <w:rFonts w:hint="eastAsia" w:ascii="仿宋_GB2312" w:hAnsi="ˎ̥" w:eastAsia="仿宋_GB2312" w:cs="宋体"/>
          <w:kern w:val="0"/>
        </w:rPr>
        <w:t>支出91.76万元，占2.1%；</w:t>
      </w:r>
      <w:r>
        <w:rPr>
          <w:rFonts w:hint="eastAsia" w:ascii="仿宋_GB2312" w:hAnsi="ˎ̥" w:eastAsia="仿宋_GB2312" w:cs="宋体"/>
          <w:b/>
          <w:bCs/>
          <w:kern w:val="0"/>
        </w:rPr>
        <w:t>社会保障和就业（类）</w:t>
      </w:r>
      <w:r>
        <w:rPr>
          <w:rFonts w:hint="eastAsia" w:ascii="仿宋_GB2312" w:hAnsi="ˎ̥" w:eastAsia="仿宋_GB2312" w:cs="宋体"/>
          <w:kern w:val="0"/>
        </w:rPr>
        <w:t>支出16.43万元，占0.37%；</w:t>
      </w:r>
      <w:r>
        <w:rPr>
          <w:rFonts w:hint="eastAsia" w:ascii="仿宋_GB2312" w:hAnsi="ˎ̥" w:eastAsia="仿宋_GB2312" w:cs="宋体"/>
          <w:b/>
          <w:bCs/>
          <w:kern w:val="0"/>
        </w:rPr>
        <w:t>医疗卫生与计划生育（类）</w:t>
      </w:r>
      <w:r>
        <w:rPr>
          <w:rFonts w:hint="eastAsia" w:ascii="仿宋_GB2312" w:hAnsi="ˎ̥" w:eastAsia="仿宋_GB2312" w:cs="宋体"/>
          <w:kern w:val="0"/>
        </w:rPr>
        <w:t>支出14.66万元，占0.34%；</w:t>
      </w:r>
      <w:r>
        <w:rPr>
          <w:rFonts w:hint="eastAsia" w:ascii="仿宋_GB2312" w:hAnsi="ˎ̥" w:eastAsia="仿宋_GB2312" w:cs="宋体"/>
          <w:b/>
          <w:bCs/>
          <w:kern w:val="0"/>
        </w:rPr>
        <w:t>农林水（类）</w:t>
      </w:r>
      <w:r>
        <w:rPr>
          <w:rFonts w:hint="eastAsia" w:ascii="仿宋_GB2312" w:hAnsi="ˎ̥" w:eastAsia="仿宋_GB2312" w:cs="宋体"/>
          <w:kern w:val="0"/>
        </w:rPr>
        <w:t>支出3340.62万元，占76.46%；</w:t>
      </w:r>
      <w:r>
        <w:rPr>
          <w:rFonts w:hint="eastAsia" w:ascii="仿宋_GB2312" w:hAnsi="ˎ̥" w:eastAsia="仿宋_GB2312" w:cs="宋体"/>
          <w:b/>
          <w:bCs/>
          <w:kern w:val="0"/>
        </w:rPr>
        <w:t>住房保障（类）</w:t>
      </w:r>
      <w:r>
        <w:rPr>
          <w:rFonts w:hint="eastAsia" w:ascii="仿宋_GB2312" w:hAnsi="ˎ̥" w:eastAsia="仿宋_GB2312" w:cs="宋体"/>
          <w:kern w:val="0"/>
        </w:rPr>
        <w:t>支出10.32万元，占0.24%。</w:t>
      </w:r>
    </w:p>
    <w:p>
      <w:pPr>
        <w:widowControl/>
        <w:spacing w:before="100" w:beforeAutospacing="1" w:after="100" w:afterAutospacing="1"/>
        <w:ind w:firstLine="640" w:firstLineChars="200"/>
        <w:jc w:val="left"/>
        <w:rPr>
          <w:rFonts w:ascii="宋体" w:hAnsi="宋体" w:cs="宋体"/>
          <w:kern w:val="0"/>
          <w:sz w:val="24"/>
          <w:szCs w:val="24"/>
        </w:rPr>
      </w:pPr>
      <w:bookmarkStart w:id="84" w:name="_Toc21701_WPSOffice_Level2"/>
      <w:bookmarkStart w:id="85" w:name="_Toc15415_WPSOffice_Level2"/>
      <w:bookmarkStart w:id="86" w:name="_Toc22318_WPSOffice_Level2"/>
      <w:bookmarkStart w:id="87" w:name="_Toc9502_WPSOffice_Level2"/>
      <w:bookmarkStart w:id="88" w:name="_Toc25136_WPSOffice_Level2"/>
      <w:bookmarkStart w:id="89" w:name="_Toc29364_WPSOffice_Level2"/>
      <w:r>
        <w:rPr>
          <w:rFonts w:hint="eastAsia" w:ascii="楷体" w:hAnsi="楷体" w:eastAsia="楷体" w:cs="楷体"/>
          <w:kern w:val="0"/>
        </w:rPr>
        <w:t>（三）财政拨款支出决算具体情况。</w:t>
      </w:r>
      <w:bookmarkEnd w:id="84"/>
      <w:bookmarkEnd w:id="85"/>
      <w:bookmarkEnd w:id="86"/>
      <w:bookmarkEnd w:id="87"/>
      <w:bookmarkEnd w:id="88"/>
      <w:bookmarkEnd w:id="89"/>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 xml:space="preserve">2018年度财政拨款支出年初预算为3811.65万元，支出决算为4368.81万元，完成年初预算的114.62%。其中： </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仿宋_GB2312" w:hAnsi="ˎ̥" w:eastAsia="仿宋_GB2312" w:cs="宋体"/>
          <w:b/>
          <w:bCs/>
          <w:kern w:val="0"/>
        </w:rPr>
        <w:t>1.</w:t>
      </w:r>
      <w:r>
        <w:rPr>
          <w:rFonts w:hint="eastAsia" w:ascii="仿宋_GB2312" w:hAnsi="ˎ̥" w:eastAsia="仿宋_GB2312" w:cs="宋体"/>
          <w:b/>
          <w:kern w:val="0"/>
        </w:rPr>
        <w:t>一般公共服务（类）人大事务（款）行政运行（项）。</w:t>
      </w:r>
    </w:p>
    <w:p>
      <w:pPr>
        <w:widowControl/>
        <w:spacing w:before="100" w:beforeAutospacing="1" w:after="100" w:afterAutospacing="1"/>
        <w:jc w:val="left"/>
        <w:rPr>
          <w:rFonts w:hint="eastAsia" w:ascii="仿宋_GB2312" w:hAnsi="ˎ̥" w:eastAsia="仿宋_GB2312" w:cs="宋体"/>
          <w:kern w:val="0"/>
        </w:rPr>
      </w:pPr>
      <w:r>
        <w:rPr>
          <w:rFonts w:hint="eastAsia" w:ascii="仿宋_GB2312" w:hAnsi="ˎ̥" w:eastAsia="仿宋_GB2312" w:cs="宋体"/>
          <w:kern w:val="0"/>
        </w:rPr>
        <w:t>年初预算为938.23万元，支出决算为894.99万元，完成年初预算的100.18%。决算数大于预算数的主要原因：一是人员调资调标；二是工资结构调整。</w:t>
      </w:r>
    </w:p>
    <w:p>
      <w:pPr>
        <w:widowControl/>
        <w:numPr>
          <w:ilvl w:val="0"/>
          <w:numId w:val="2"/>
        </w:numPr>
        <w:spacing w:before="100" w:beforeAutospacing="1" w:after="100" w:afterAutospacing="1"/>
        <w:ind w:firstLine="640"/>
        <w:jc w:val="left"/>
        <w:rPr>
          <w:rFonts w:hint="eastAsia" w:ascii="仿宋_GB2312" w:hAnsi="ˎ̥" w:eastAsia="仿宋_GB2312" w:cs="宋体"/>
          <w:b/>
          <w:bCs/>
          <w:kern w:val="0"/>
        </w:rPr>
      </w:pPr>
      <w:r>
        <w:rPr>
          <w:rFonts w:hint="eastAsia" w:ascii="仿宋_GB2312" w:hAnsi="ˎ̥" w:eastAsia="仿宋_GB2312" w:cs="宋体"/>
          <w:b/>
          <w:bCs/>
          <w:kern w:val="0"/>
        </w:rPr>
        <w:t>教育（类）干部教育（款）培训支出（项）</w:t>
      </w:r>
    </w:p>
    <w:p>
      <w:pPr>
        <w:widowControl/>
        <w:spacing w:before="100" w:beforeAutospacing="1" w:after="100" w:afterAutospacing="1"/>
        <w:jc w:val="left"/>
        <w:rPr>
          <w:rFonts w:hint="eastAsia" w:ascii="仿宋_GB2312" w:hAnsi="ˎ̥" w:eastAsia="仿宋_GB2312" w:cs="宋体"/>
          <w:kern w:val="0"/>
        </w:rPr>
      </w:pPr>
      <w:r>
        <w:rPr>
          <w:rFonts w:hint="eastAsia" w:ascii="仿宋_GB2312" w:hAnsi="ˎ̥" w:eastAsia="仿宋_GB2312" w:cs="宋体"/>
          <w:kern w:val="0"/>
        </w:rPr>
        <w:t xml:space="preserve">     年初预算为80万元，支出决算为91.76万元，占114.70</w:t>
      </w:r>
      <w:r>
        <w:rPr>
          <w:rFonts w:hint="eastAsia" w:ascii="宋体" w:hAnsi="宋体" w:cs="宋体"/>
          <w:kern w:val="0"/>
        </w:rPr>
        <w:t>％。</w:t>
      </w:r>
      <w:r>
        <w:rPr>
          <w:rFonts w:ascii="仿宋_GB2312" w:hAnsi="ˎ̥" w:eastAsia="仿宋_GB2312" w:cs="仿宋_GB2312"/>
          <w:kern w:val="0"/>
          <w:shd w:val="clear" w:color="auto" w:fill="FFFFFF"/>
          <w:lang w:bidi="ar"/>
        </w:rPr>
        <w:t>决算数</w:t>
      </w:r>
      <w:r>
        <w:rPr>
          <w:rFonts w:hint="eastAsia" w:ascii="仿宋_GB2312" w:hAnsi="ˎ̥" w:eastAsia="仿宋_GB2312" w:cs="仿宋_GB2312"/>
          <w:kern w:val="0"/>
          <w:shd w:val="clear" w:color="auto" w:fill="FFFFFF"/>
          <w:lang w:bidi="ar"/>
        </w:rPr>
        <w:t>大</w:t>
      </w:r>
      <w:r>
        <w:rPr>
          <w:rFonts w:ascii="仿宋_GB2312" w:hAnsi="ˎ̥" w:eastAsia="仿宋_GB2312" w:cs="仿宋_GB2312"/>
          <w:kern w:val="0"/>
          <w:shd w:val="clear" w:color="auto" w:fill="FFFFFF"/>
          <w:lang w:bidi="ar"/>
        </w:rPr>
        <w:t>于预算数的主要原因：</w:t>
      </w:r>
      <w:r>
        <w:rPr>
          <w:rFonts w:hint="eastAsia" w:ascii="仿宋_GB2312" w:hAnsi="仿宋_GB2312" w:eastAsia="仿宋_GB2312" w:cs="仿宋_GB2312"/>
        </w:rPr>
        <w:t>一是人员调资调标；二是工资结构调整。</w:t>
      </w:r>
    </w:p>
    <w:p>
      <w:pPr>
        <w:widowControl/>
        <w:spacing w:line="540" w:lineRule="exact"/>
        <w:ind w:firstLine="640" w:firstLineChars="200"/>
        <w:rPr>
          <w:rFonts w:hint="eastAsia" w:ascii="仿宋_GB2312" w:hAnsi="ˎ̥" w:eastAsia="仿宋_GB2312" w:cs="仿宋_GB2312"/>
          <w:b/>
          <w:kern w:val="0"/>
          <w:shd w:val="clear" w:color="auto" w:fill="FFFFFF"/>
          <w:lang w:bidi="ar"/>
        </w:rPr>
      </w:pPr>
      <w:r>
        <w:rPr>
          <w:rFonts w:hint="eastAsia" w:ascii="仿宋_GB2312" w:hAnsi="ˎ̥" w:eastAsia="仿宋_GB2312"/>
        </w:rPr>
        <w:t xml:space="preserve"> </w:t>
      </w:r>
      <w:r>
        <w:rPr>
          <w:rFonts w:hint="eastAsia" w:ascii="仿宋_GB2312" w:hAnsi="ˎ̥" w:eastAsia="仿宋_GB2312" w:cs="仿宋_GB2312"/>
          <w:b/>
          <w:kern w:val="0"/>
          <w:shd w:val="clear" w:color="auto" w:fill="FFFFFF"/>
          <w:lang w:bidi="ar"/>
        </w:rPr>
        <w:t>(3)</w:t>
      </w:r>
      <w:r>
        <w:rPr>
          <w:rFonts w:ascii="仿宋_GB2312" w:hAnsi="ˎ̥" w:eastAsia="仿宋_GB2312" w:cs="仿宋_GB2312"/>
          <w:b/>
          <w:kern w:val="0"/>
          <w:shd w:val="clear" w:color="auto" w:fill="FFFFFF"/>
          <w:lang w:bidi="ar"/>
        </w:rPr>
        <w:t>社会保障和就业（类）</w:t>
      </w:r>
      <w:r>
        <w:rPr>
          <w:rFonts w:hint="eastAsia" w:ascii="仿宋_GB2312" w:hAnsi="ˎ̥" w:eastAsia="仿宋_GB2312" w:cs="仿宋_GB2312"/>
          <w:b/>
          <w:kern w:val="0"/>
          <w:shd w:val="clear" w:color="auto" w:fill="FFFFFF"/>
          <w:lang w:bidi="ar"/>
        </w:rPr>
        <w:t>行政事业单位离退休（款）机关事业单位基本养老保险缴费支出（项）</w:t>
      </w:r>
    </w:p>
    <w:p>
      <w:pPr>
        <w:widowControl/>
        <w:spacing w:line="540" w:lineRule="exact"/>
        <w:ind w:firstLine="640" w:firstLineChars="200"/>
        <w:rPr>
          <w:rFonts w:ascii="仿宋_GB2312" w:hAnsi="仿宋_GB2312" w:eastAsia="仿宋_GB2312" w:cs="仿宋_GB2312"/>
        </w:rPr>
      </w:pPr>
      <w:r>
        <w:rPr>
          <w:rFonts w:hint="eastAsia" w:ascii="仿宋_GB2312" w:hAnsi="ˎ̥" w:eastAsia="仿宋_GB2312" w:cs="宋体"/>
          <w:kern w:val="0"/>
        </w:rPr>
        <w:t>年初预算为15.00万元，支出决算为16.43万元，占109.53</w:t>
      </w:r>
      <w:r>
        <w:rPr>
          <w:rFonts w:hint="eastAsia" w:ascii="宋体" w:hAnsi="宋体" w:cs="宋体"/>
          <w:kern w:val="0"/>
        </w:rPr>
        <w:t>％。</w:t>
      </w:r>
      <w:r>
        <w:rPr>
          <w:rFonts w:ascii="仿宋_GB2312" w:hAnsi="ˎ̥" w:eastAsia="仿宋_GB2312" w:cs="仿宋_GB2312"/>
          <w:kern w:val="0"/>
          <w:shd w:val="clear" w:color="auto" w:fill="FFFFFF"/>
          <w:lang w:bidi="ar"/>
        </w:rPr>
        <w:t>决算数</w:t>
      </w:r>
      <w:r>
        <w:rPr>
          <w:rFonts w:hint="eastAsia" w:ascii="仿宋_GB2312" w:hAnsi="ˎ̥" w:eastAsia="仿宋_GB2312" w:cs="仿宋_GB2312"/>
          <w:kern w:val="0"/>
          <w:shd w:val="clear" w:color="auto" w:fill="FFFFFF"/>
          <w:lang w:bidi="ar"/>
        </w:rPr>
        <w:t>大</w:t>
      </w:r>
      <w:r>
        <w:rPr>
          <w:rFonts w:ascii="仿宋_GB2312" w:hAnsi="ˎ̥" w:eastAsia="仿宋_GB2312" w:cs="仿宋_GB2312"/>
          <w:kern w:val="0"/>
          <w:shd w:val="clear" w:color="auto" w:fill="FFFFFF"/>
          <w:lang w:bidi="ar"/>
        </w:rPr>
        <w:t>于预算数的主要原因：</w:t>
      </w:r>
      <w:r>
        <w:rPr>
          <w:rFonts w:hint="eastAsia" w:ascii="仿宋_GB2312" w:hAnsi="仿宋_GB2312" w:eastAsia="仿宋_GB2312" w:cs="仿宋_GB2312"/>
        </w:rPr>
        <w:t>一是人员调资调标；二是工资结构调整。</w:t>
      </w:r>
    </w:p>
    <w:p>
      <w:pPr>
        <w:widowControl/>
        <w:spacing w:line="540" w:lineRule="exact"/>
        <w:ind w:firstLine="643" w:firstLineChars="200"/>
        <w:rPr>
          <w:rFonts w:hint="eastAsia" w:ascii="仿宋_GB2312" w:hAnsi="ˎ̥" w:eastAsia="仿宋_GB2312" w:cs="仿宋_GB2312"/>
          <w:b/>
          <w:bCs/>
          <w:kern w:val="0"/>
          <w:shd w:val="clear" w:color="auto" w:fill="FFFFFF"/>
          <w:lang w:bidi="ar"/>
        </w:rPr>
      </w:pPr>
      <w:r>
        <w:rPr>
          <w:rFonts w:hint="eastAsia" w:ascii="仿宋_GB2312" w:hAnsi="ˎ̥" w:eastAsia="仿宋_GB2312" w:cs="仿宋_GB2312"/>
          <w:b/>
          <w:bCs/>
          <w:kern w:val="0"/>
          <w:shd w:val="clear" w:color="auto" w:fill="FFFFFF"/>
          <w:lang w:bidi="ar"/>
        </w:rPr>
        <w:t>(4)医疗卫生与计划生育（类）医疗保障（款）行政单位医疗（项）</w:t>
      </w:r>
    </w:p>
    <w:p>
      <w:pPr>
        <w:widowControl/>
        <w:spacing w:line="540" w:lineRule="exact"/>
        <w:ind w:firstLine="640" w:firstLineChars="200"/>
        <w:rPr>
          <w:rFonts w:hint="eastAsia" w:ascii="仿宋_GB2312" w:hAnsi="ˎ̥" w:eastAsia="仿宋_GB2312" w:cs="宋体"/>
          <w:kern w:val="0"/>
        </w:rPr>
      </w:pPr>
      <w:r>
        <w:rPr>
          <w:rFonts w:hint="eastAsia" w:ascii="仿宋_GB2312" w:hAnsi="ˎ̥" w:eastAsia="仿宋_GB2312" w:cs="宋体"/>
          <w:kern w:val="0"/>
        </w:rPr>
        <w:t>年初预算为12.42万元，支出决算为14.66万元，占134.13</w:t>
      </w:r>
      <w:r>
        <w:rPr>
          <w:rFonts w:hint="eastAsia" w:ascii="宋体" w:hAnsi="宋体" w:cs="宋体"/>
          <w:kern w:val="0"/>
        </w:rPr>
        <w:t>％.</w:t>
      </w:r>
      <w:r>
        <w:rPr>
          <w:rFonts w:ascii="仿宋_GB2312" w:hAnsi="ˎ̥" w:eastAsia="仿宋_GB2312" w:cs="仿宋_GB2312"/>
          <w:kern w:val="0"/>
          <w:shd w:val="clear" w:color="auto" w:fill="FFFFFF"/>
          <w:lang w:bidi="ar"/>
        </w:rPr>
        <w:t>决算数</w:t>
      </w:r>
      <w:r>
        <w:rPr>
          <w:rFonts w:hint="eastAsia" w:ascii="仿宋_GB2312" w:hAnsi="ˎ̥" w:eastAsia="仿宋_GB2312" w:cs="仿宋_GB2312"/>
          <w:kern w:val="0"/>
          <w:shd w:val="clear" w:color="auto" w:fill="FFFFFF"/>
          <w:lang w:bidi="ar"/>
        </w:rPr>
        <w:t>大</w:t>
      </w:r>
      <w:r>
        <w:rPr>
          <w:rFonts w:ascii="仿宋_GB2312" w:hAnsi="ˎ̥" w:eastAsia="仿宋_GB2312" w:cs="仿宋_GB2312"/>
          <w:kern w:val="0"/>
          <w:shd w:val="clear" w:color="auto" w:fill="FFFFFF"/>
          <w:lang w:bidi="ar"/>
        </w:rPr>
        <w:t>于预算数的主要原因：</w:t>
      </w:r>
      <w:r>
        <w:rPr>
          <w:rFonts w:hint="eastAsia" w:ascii="仿宋_GB2312" w:hAnsi="仿宋_GB2312" w:eastAsia="仿宋_GB2312" w:cs="仿宋_GB2312"/>
        </w:rPr>
        <w:t>一是人员变动；二是工资结构调整</w:t>
      </w:r>
      <w:r>
        <w:rPr>
          <w:rFonts w:hint="eastAsia" w:ascii="仿宋_GB2312" w:hAnsi="ˎ̥" w:eastAsia="仿宋_GB2312" w:cs="宋体"/>
          <w:kern w:val="0"/>
        </w:rPr>
        <w:t>。</w:t>
      </w:r>
    </w:p>
    <w:p>
      <w:pPr>
        <w:widowControl/>
        <w:spacing w:line="540" w:lineRule="exact"/>
        <w:ind w:firstLine="630" w:firstLineChars="196"/>
        <w:rPr>
          <w:rFonts w:hint="eastAsia" w:ascii="仿宋_GB2312" w:hAnsi="ˎ̥" w:eastAsia="仿宋_GB2312" w:cs="仿宋_GB2312"/>
          <w:b/>
          <w:kern w:val="0"/>
          <w:shd w:val="clear" w:color="auto" w:fill="FFFFFF"/>
          <w:lang w:bidi="ar"/>
        </w:rPr>
      </w:pPr>
      <w:r>
        <w:rPr>
          <w:rFonts w:hint="eastAsia" w:ascii="仿宋_GB2312" w:hAnsi="ˎ̥" w:eastAsia="仿宋_GB2312" w:cs="仿宋_GB2312"/>
          <w:b/>
          <w:kern w:val="0"/>
          <w:shd w:val="clear" w:color="auto" w:fill="FFFFFF"/>
          <w:lang w:bidi="ar"/>
        </w:rPr>
        <w:t>（5)农林水支出（类）农业（款）对高校毕业生到基层任职补助（项）和农村综合改革（款）</w:t>
      </w:r>
    </w:p>
    <w:p>
      <w:pPr>
        <w:widowControl/>
        <w:spacing w:line="540" w:lineRule="exact"/>
        <w:ind w:firstLine="627" w:firstLineChars="196"/>
        <w:rPr>
          <w:rFonts w:hint="eastAsia" w:ascii="仿宋_GB2312" w:hAnsi="ˎ̥" w:eastAsia="仿宋_GB2312" w:cs="宋体"/>
          <w:kern w:val="0"/>
        </w:rPr>
      </w:pPr>
      <w:r>
        <w:rPr>
          <w:rFonts w:hint="eastAsia" w:ascii="仿宋_GB2312" w:hAnsi="ˎ̥" w:eastAsia="仿宋_GB2312" w:cs="宋体"/>
          <w:kern w:val="0"/>
        </w:rPr>
        <w:t>年初预算为2756万元，决算支出为3340.63万元，占121.21</w:t>
      </w:r>
      <w:r>
        <w:rPr>
          <w:rFonts w:hint="eastAsia" w:ascii="宋体" w:hAnsi="宋体" w:cs="宋体"/>
          <w:kern w:val="0"/>
        </w:rPr>
        <w:t>％，</w:t>
      </w:r>
      <w:r>
        <w:rPr>
          <w:rFonts w:ascii="仿宋_GB2312" w:hAnsi="ˎ̥" w:eastAsia="仿宋_GB2312" w:cs="仿宋_GB2312"/>
          <w:kern w:val="0"/>
          <w:shd w:val="clear" w:color="auto" w:fill="FFFFFF"/>
          <w:lang w:bidi="ar"/>
        </w:rPr>
        <w:t>决算数</w:t>
      </w:r>
      <w:r>
        <w:rPr>
          <w:rFonts w:hint="eastAsia" w:ascii="仿宋_GB2312" w:hAnsi="ˎ̥" w:eastAsia="仿宋_GB2312" w:cs="仿宋_GB2312"/>
          <w:kern w:val="0"/>
          <w:shd w:val="clear" w:color="auto" w:fill="FFFFFF"/>
          <w:lang w:bidi="ar"/>
        </w:rPr>
        <w:t>大</w:t>
      </w:r>
      <w:r>
        <w:rPr>
          <w:rFonts w:ascii="仿宋_GB2312" w:hAnsi="ˎ̥" w:eastAsia="仿宋_GB2312" w:cs="仿宋_GB2312"/>
          <w:kern w:val="0"/>
          <w:shd w:val="clear" w:color="auto" w:fill="FFFFFF"/>
          <w:lang w:bidi="ar"/>
        </w:rPr>
        <w:t>于预算数的主要原因：</w:t>
      </w:r>
      <w:r>
        <w:rPr>
          <w:rFonts w:hint="eastAsia" w:ascii="仿宋_GB2312" w:hAnsi="ˎ̥" w:eastAsia="仿宋_GB2312" w:cs="宋体"/>
          <w:kern w:val="0"/>
        </w:rPr>
        <w:t>用于村两委、大学生村官工资、五险一金、绩效奖金、大专学历教育学员补助支出、离任干部抚恤金丧葬费、后备干部的工作补助等支出。</w:t>
      </w:r>
    </w:p>
    <w:p>
      <w:pPr>
        <w:widowControl/>
        <w:spacing w:line="540" w:lineRule="exact"/>
        <w:ind w:firstLine="790" w:firstLineChars="246"/>
        <w:rPr>
          <w:rFonts w:hint="eastAsia" w:ascii="仿宋_GB2312" w:hAnsi="ˎ̥" w:eastAsia="仿宋_GB2312" w:cs="仿宋_GB2312"/>
          <w:b/>
          <w:bCs/>
          <w:kern w:val="0"/>
          <w:shd w:val="clear" w:color="auto" w:fill="FFFFFF"/>
          <w:lang w:bidi="ar"/>
        </w:rPr>
      </w:pPr>
      <w:r>
        <w:rPr>
          <w:rFonts w:hint="eastAsia" w:ascii="仿宋_GB2312" w:hAnsi="ˎ̥" w:eastAsia="仿宋_GB2312" w:cs="仿宋_GB2312"/>
          <w:b/>
          <w:bCs/>
          <w:kern w:val="0"/>
          <w:shd w:val="clear" w:color="auto" w:fill="FFFFFF"/>
          <w:lang w:bidi="ar"/>
        </w:rPr>
        <w:t>(6)住房保障支出（类）住房改革支出（款）住房公积金（项）</w:t>
      </w:r>
    </w:p>
    <w:p>
      <w:pPr>
        <w:widowControl/>
        <w:spacing w:line="540" w:lineRule="exact"/>
        <w:ind w:firstLine="787" w:firstLineChars="246"/>
        <w:rPr>
          <w:rFonts w:hint="eastAsia" w:ascii="仿宋_GB2312" w:hAnsi="ˎ̥" w:eastAsia="仿宋_GB2312" w:cs="宋体"/>
          <w:kern w:val="0"/>
        </w:rPr>
      </w:pPr>
      <w:r>
        <w:rPr>
          <w:rFonts w:hint="eastAsia" w:ascii="仿宋_GB2312" w:hAnsi="ˎ̥" w:eastAsia="仿宋_GB2312" w:cs="宋体"/>
          <w:kern w:val="0"/>
        </w:rPr>
        <w:t>年初预算为10万元，决算支出为10.32万元，占：103.20</w:t>
      </w:r>
      <w:r>
        <w:rPr>
          <w:rFonts w:hint="eastAsia" w:ascii="宋体" w:hAnsi="宋体" w:cs="宋体"/>
          <w:kern w:val="0"/>
        </w:rPr>
        <w:t>％，</w:t>
      </w:r>
      <w:r>
        <w:rPr>
          <w:rFonts w:ascii="仿宋_GB2312" w:hAnsi="ˎ̥" w:eastAsia="仿宋_GB2312" w:cs="仿宋_GB2312"/>
          <w:kern w:val="0"/>
          <w:shd w:val="clear" w:color="auto" w:fill="FFFFFF"/>
          <w:lang w:bidi="ar"/>
        </w:rPr>
        <w:t>决算数</w:t>
      </w:r>
      <w:r>
        <w:rPr>
          <w:rFonts w:hint="eastAsia" w:ascii="仿宋_GB2312" w:hAnsi="ˎ̥" w:eastAsia="仿宋_GB2312" w:cs="仿宋_GB2312"/>
          <w:kern w:val="0"/>
          <w:shd w:val="clear" w:color="auto" w:fill="FFFFFF"/>
          <w:lang w:bidi="ar"/>
        </w:rPr>
        <w:t>大</w:t>
      </w:r>
      <w:r>
        <w:rPr>
          <w:rFonts w:ascii="仿宋_GB2312" w:hAnsi="ˎ̥" w:eastAsia="仿宋_GB2312" w:cs="仿宋_GB2312"/>
          <w:kern w:val="0"/>
          <w:shd w:val="clear" w:color="auto" w:fill="FFFFFF"/>
          <w:lang w:bidi="ar"/>
        </w:rPr>
        <w:t>于预算数的主要原因：</w:t>
      </w:r>
      <w:r>
        <w:rPr>
          <w:rFonts w:hint="eastAsia" w:ascii="仿宋_GB2312" w:hAnsi="仿宋_GB2312" w:eastAsia="仿宋_GB2312" w:cs="仿宋_GB2312"/>
        </w:rPr>
        <w:t>一是人员调资调标；二是工资结构调整</w:t>
      </w:r>
      <w:r>
        <w:rPr>
          <w:rFonts w:hint="eastAsia" w:ascii="仿宋_GB2312" w:hAnsi="ˎ̥" w:eastAsia="仿宋_GB2312" w:cs="宋体"/>
          <w:kern w:val="0"/>
        </w:rPr>
        <w:t>。</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六、一般公共预算财政拨款基本支出决算情况说明。</w:t>
      </w:r>
    </w:p>
    <w:p>
      <w:pPr>
        <w:widowControl/>
        <w:tabs>
          <w:tab w:val="center" w:pos="4473"/>
        </w:tabs>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财政拨款基本支出284.53万元，其中：人员经费273.35万元，主要包括：基本工资、津贴补贴、奖金、社会保障缴费、伙食费、伙食补助费、绩效工资、其他工资福利支出等、离休费、退休费、退职（役）费、抚恤金、生 活补助、救济费、医疗费、助学金、奖励金、生产补贴、住房公积金、提租补贴、购房补贴、其他对个人和家庭的补助支出等。公用经费11.18万 元，主要包括：办公费、印刷费、咨询费、手续费、水费、电费、邮电费、取暖费、物业管理费、差旅费、因公出国（境）费用、维修（护）费、租赁费、会议费、 培训费、公务接待费、专用材料费、被装购置费、专用燃料费、劳务费、委托业务费、工会经费、福利费、公务用车运行维护费、其他交通费用、税金及附加费用、 其他商品和服务支出。</w:t>
      </w:r>
    </w:p>
    <w:p>
      <w:pPr>
        <w:widowControl/>
        <w:tabs>
          <w:tab w:val="center" w:pos="4473"/>
        </w:tabs>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七、政府性基金预算财政拨款收入支出决算情况说明</w:t>
      </w:r>
    </w:p>
    <w:p>
      <w:pPr>
        <w:widowControl/>
        <w:tabs>
          <w:tab w:val="center" w:pos="4473"/>
        </w:tabs>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（一）2018年度政府性基金预算财政拨款收入0.00万元，较2017年度增加0万元，增长0%。主要原因：无政府性基金预算财政拨款收入支出。</w:t>
      </w:r>
    </w:p>
    <w:p>
      <w:pPr>
        <w:widowControl/>
        <w:tabs>
          <w:tab w:val="center" w:pos="4473"/>
        </w:tabs>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（二）2018年度政府性基金预算财政拨款支出0.00万元，较2017年度增加0万元，增长0%。</w:t>
      </w:r>
    </w:p>
    <w:p>
      <w:pPr>
        <w:widowControl/>
        <w:spacing w:before="100" w:beforeAutospacing="1" w:after="100" w:afterAutospacing="1"/>
        <w:jc w:val="left"/>
        <w:rPr>
          <w:rFonts w:ascii="宋体" w:hAnsi="宋体" w:cs="宋体"/>
          <w:kern w:val="0"/>
          <w:sz w:val="24"/>
          <w:szCs w:val="24"/>
        </w:rPr>
      </w:pPr>
      <w:r>
        <w:rPr>
          <w:rFonts w:hint="eastAsia" w:ascii="仿宋_GB2312" w:hAnsi="ˎ̥" w:eastAsia="仿宋_GB2312" w:cs="宋体"/>
          <w:kern w:val="0"/>
        </w:rPr>
        <w:t xml:space="preserve">    （三）2018年度财政拨款支出年初预算为0万元，支出决算为0.00万元，完成年初预算的0%。</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八、一般公共预算财政拨款“三公”经费支出决算情况说明</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楷体" w:hAnsi="楷体" w:eastAsia="楷体" w:cs="楷体"/>
          <w:b/>
          <w:kern w:val="0"/>
        </w:rPr>
        <w:t>（一）一般公共预算财政拨款“三公”经费支出决算总体情况说明。</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2018年度一般公共预算财政拨款“三公”经费支出预算为1.87万元，支出决算为1.83万元，完成预算的97.86%，决算数小于预算数的主要原因：一是年初预算充足；二是该部分经费主要用于公车运行及维护。</w:t>
      </w:r>
    </w:p>
    <w:p>
      <w:pPr>
        <w:widowControl/>
        <w:spacing w:before="100" w:beforeAutospacing="1" w:after="100" w:afterAutospacing="1"/>
        <w:jc w:val="left"/>
        <w:rPr>
          <w:rFonts w:ascii="宋体" w:hAnsi="宋体" w:cs="宋体"/>
          <w:kern w:val="0"/>
          <w:sz w:val="24"/>
          <w:szCs w:val="24"/>
        </w:rPr>
      </w:pPr>
      <w:r>
        <w:rPr>
          <w:rFonts w:hint="eastAsia" w:ascii="楷体" w:hAnsi="楷体" w:eastAsia="楷体" w:cs="楷体"/>
          <w:b/>
          <w:bCs/>
          <w:kern w:val="0"/>
        </w:rPr>
        <w:t>（二）一般公共预算财政拨款</w:t>
      </w:r>
      <w:r>
        <w:rPr>
          <w:rFonts w:hint="eastAsia" w:ascii="楷体" w:hAnsi="楷体" w:eastAsia="楷体" w:cs="楷体"/>
          <w:b/>
          <w:kern w:val="0"/>
        </w:rPr>
        <w:t>“三公”经费财政拨款支出决算具体情况说明。</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2018年度一般公共预算财政拨款“三公”经费支出决算中，因公出国（境）费支出0.00万元，占0%；公务用车购置费0.00万元，占0%；公务用车运行维护费支出1.83万元，占97.86%；公务接待费支出0.00万元，占0%。具体情况如下：</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仿宋_GB2312" w:hAnsi="ˎ̥" w:eastAsia="仿宋_GB2312" w:cs="宋体"/>
          <w:b/>
          <w:kern w:val="0"/>
        </w:rPr>
        <w:t>1.因公出国（境）费</w:t>
      </w:r>
      <w:r>
        <w:rPr>
          <w:rFonts w:hint="eastAsia" w:ascii="仿宋_GB2312" w:hAnsi="ˎ̥" w:eastAsia="仿宋_GB2312" w:cs="宋体"/>
          <w:kern w:val="0"/>
        </w:rPr>
        <w:t>支出0.00万元。全年安排因公出国（境）团组0个，因公出国（境）0人次。</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因公出国（境）费支出决算比2017年度增加0万元，增长0%。主要原因是未安排出国（境）。</w:t>
      </w:r>
    </w:p>
    <w:p>
      <w:pPr>
        <w:widowControl/>
        <w:spacing w:before="100" w:beforeAutospacing="1" w:after="100" w:afterAutospacing="1"/>
        <w:jc w:val="left"/>
        <w:rPr>
          <w:rFonts w:ascii="宋体" w:hAnsi="宋体" w:cs="宋体"/>
          <w:kern w:val="0"/>
          <w:sz w:val="24"/>
          <w:szCs w:val="24"/>
        </w:rPr>
      </w:pPr>
      <w:r>
        <w:rPr>
          <w:rFonts w:hint="eastAsia" w:ascii="仿宋_GB2312" w:hAnsi="ˎ̥" w:eastAsia="仿宋_GB2312" w:cs="宋体"/>
          <w:b/>
          <w:kern w:val="0"/>
        </w:rPr>
        <w:t xml:space="preserve">    2.公务用车购置及运行费支出</w:t>
      </w:r>
      <w:r>
        <w:rPr>
          <w:rFonts w:hint="eastAsia" w:ascii="仿宋_GB2312" w:hAnsi="ˎ̥" w:eastAsia="仿宋_GB2312" w:cs="宋体"/>
          <w:kern w:val="0"/>
        </w:rPr>
        <w:t>1.83万元。其中：</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仿宋_GB2312" w:hAnsi="ˎ̥" w:eastAsia="仿宋_GB2312" w:cs="宋体"/>
          <w:b/>
          <w:kern w:val="0"/>
        </w:rPr>
        <w:t>公务用车购置支出</w:t>
      </w:r>
      <w:r>
        <w:rPr>
          <w:rFonts w:hint="eastAsia" w:ascii="仿宋_GB2312" w:hAnsi="ˎ̥" w:eastAsia="仿宋_GB2312" w:cs="宋体"/>
          <w:kern w:val="0"/>
        </w:rPr>
        <w:t>0.00万元，全年购置公务用车0辆，年末公务用车保有量1辆。</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仿宋_GB2312" w:hAnsi="ˎ̥" w:eastAsia="仿宋_GB2312" w:cs="宋体"/>
          <w:b/>
          <w:kern w:val="0"/>
        </w:rPr>
        <w:t>公务用车运行维护费</w:t>
      </w:r>
      <w:r>
        <w:rPr>
          <w:rFonts w:hint="eastAsia" w:ascii="仿宋_GB2312" w:hAnsi="ˎ̥" w:eastAsia="仿宋_GB2312" w:cs="宋体"/>
          <w:kern w:val="0"/>
        </w:rPr>
        <w:t>支出1.83万元，主要用于公务车日常运行及维修保养。</w:t>
      </w:r>
    </w:p>
    <w:p>
      <w:pPr>
        <w:ind w:firstLine="640" w:firstLineChars="200"/>
        <w:rPr>
          <w:rFonts w:hint="eastAsia" w:ascii="仿宋_GB2312" w:hAnsi="ˎ̥" w:eastAsia="仿宋_GB2312"/>
        </w:rPr>
      </w:pPr>
      <w:r>
        <w:rPr>
          <w:rFonts w:hint="eastAsia" w:ascii="仿宋_GB2312" w:hAnsi="ˎ̥" w:eastAsia="仿宋_GB2312" w:cs="宋体"/>
          <w:bCs/>
          <w:kern w:val="0"/>
        </w:rPr>
        <w:t>公务用车购置及运行费支出决算</w:t>
      </w:r>
      <w:r>
        <w:rPr>
          <w:rFonts w:hint="eastAsia" w:ascii="仿宋_GB2312" w:hAnsi="ˎ̥" w:eastAsia="仿宋_GB2312" w:cs="宋体"/>
          <w:kern w:val="0"/>
        </w:rPr>
        <w:t>比2017年度增加1.83万元，增长0%。主要原因：2</w:t>
      </w:r>
      <w:r>
        <w:rPr>
          <w:rFonts w:hint="eastAsia" w:ascii="仿宋_GB2312" w:hAnsi="ˎ̥" w:eastAsia="仿宋_GB2312" w:cs="仿宋_GB2312"/>
          <w:kern w:val="0"/>
          <w:shd w:val="clear" w:color="auto" w:fill="FFFFFF"/>
          <w:lang w:bidi="ar"/>
        </w:rPr>
        <w:t>017年公务用车交由区委办统一管理。</w:t>
      </w:r>
    </w:p>
    <w:p>
      <w:pPr>
        <w:widowControl/>
        <w:spacing w:before="100" w:beforeAutospacing="1" w:after="100" w:afterAutospacing="1"/>
        <w:ind w:firstLine="480" w:firstLineChars="200"/>
        <w:jc w:val="left"/>
        <w:rPr>
          <w:rFonts w:ascii="宋体" w:hAnsi="宋体" w:cs="宋体"/>
          <w:kern w:val="0"/>
          <w:sz w:val="24"/>
          <w:szCs w:val="24"/>
        </w:rPr>
      </w:pPr>
    </w:p>
    <w:p>
      <w:pPr>
        <w:widowControl/>
        <w:spacing w:before="100" w:beforeAutospacing="1" w:after="100" w:afterAutospacing="1"/>
        <w:jc w:val="left"/>
        <w:rPr>
          <w:rFonts w:ascii="宋体" w:hAnsi="宋体" w:cs="宋体"/>
          <w:kern w:val="0"/>
          <w:sz w:val="24"/>
          <w:szCs w:val="24"/>
        </w:rPr>
      </w:pPr>
      <w:r>
        <w:rPr>
          <w:rFonts w:hint="eastAsia" w:ascii="仿宋_GB2312" w:hAnsi="ˎ̥" w:eastAsia="仿宋_GB2312" w:cs="宋体"/>
          <w:b/>
          <w:kern w:val="0"/>
        </w:rPr>
        <w:t xml:space="preserve">    3.公务接待费支出</w:t>
      </w:r>
      <w:r>
        <w:rPr>
          <w:rFonts w:hint="eastAsia" w:ascii="仿宋_GB2312" w:hAnsi="ˎ̥" w:eastAsia="仿宋_GB2312" w:cs="宋体"/>
          <w:kern w:val="0"/>
        </w:rPr>
        <w:t>0.00万元，其中：</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公务接待费支出决算比2017年度增加0万元，增长0%。主要原因：区政府统筹安排公务接待。</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仿宋_GB2312" w:hAnsi="ˎ̥" w:eastAsia="仿宋_GB2312" w:cs="宋体"/>
          <w:b/>
          <w:kern w:val="0"/>
        </w:rPr>
        <w:t>国内接待费</w:t>
      </w:r>
      <w:r>
        <w:rPr>
          <w:rFonts w:hint="eastAsia" w:ascii="仿宋_GB2312" w:hAnsi="ˎ̥" w:eastAsia="仿宋_GB2312" w:cs="宋体"/>
          <w:kern w:val="0"/>
        </w:rPr>
        <w:t>支出0万元，国内公务接待0批次，接待0人次。</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国（境）外接待费支出0万元，国（境）外公务接待0批次，接待0人次。</w:t>
      </w:r>
    </w:p>
    <w:p>
      <w:pPr>
        <w:widowControl/>
        <w:spacing w:before="100" w:beforeAutospacing="1" w:after="100" w:afterAutospacing="1"/>
        <w:ind w:firstLine="627" w:firstLineChars="196"/>
        <w:jc w:val="left"/>
        <w:rPr>
          <w:rFonts w:ascii="宋体" w:hAnsi="宋体" w:cs="宋体"/>
          <w:kern w:val="0"/>
          <w:sz w:val="24"/>
          <w:szCs w:val="24"/>
        </w:rPr>
      </w:pPr>
      <w:r>
        <w:rPr>
          <w:rFonts w:hint="eastAsia" w:ascii="黑体" w:hAnsi="黑体" w:eastAsia="黑体" w:cs="黑体"/>
          <w:bCs/>
          <w:kern w:val="0"/>
        </w:rPr>
        <w:t>九、政府性基金预算财政拨款“三公”经费支出决算情况说明</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2018年度政府性基金预算财政拨款“三公”经费支出合计0万元。其中：因公出国（境）费支出0.00万元，占0%；公务用车购置费0.00万元，占0%；公务用车运行维护费支出0.00万元，占0%；公务接待费支出0.00万元，占0%。</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黑体" w:hAnsi="黑体" w:eastAsia="黑体" w:cs="黑体"/>
          <w:bCs/>
          <w:kern w:val="0"/>
        </w:rPr>
        <w:t>十、资产负债决算情况说明</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2018年度末部门资产总计1046.26万元，负债总计61.06万元，净资产总计985.21万元，国有资产总量985.21万元。</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黑体" w:hAnsi="黑体" w:eastAsia="黑体" w:cs="黑体"/>
          <w:bCs/>
          <w:kern w:val="0"/>
        </w:rPr>
        <w:t>十一、预算绩效情况说明。</w:t>
      </w:r>
    </w:p>
    <w:p>
      <w:pPr>
        <w:widowControl/>
        <w:spacing w:before="100" w:beforeAutospacing="1" w:after="100" w:afterAutospacing="1" w:line="578" w:lineRule="exact"/>
        <w:ind w:firstLine="643" w:firstLineChars="200"/>
        <w:jc w:val="left"/>
        <w:rPr>
          <w:rFonts w:ascii="宋体" w:hAnsi="宋体" w:cs="宋体"/>
          <w:kern w:val="0"/>
          <w:sz w:val="24"/>
          <w:szCs w:val="24"/>
        </w:rPr>
      </w:pPr>
      <w:r>
        <w:rPr>
          <w:rFonts w:hint="eastAsia" w:ascii="楷体" w:hAnsi="楷体" w:eastAsia="楷体" w:cs="楷体"/>
          <w:b/>
          <w:kern w:val="0"/>
        </w:rPr>
        <w:t>（一）绩效管理工作开展情况。</w:t>
      </w:r>
    </w:p>
    <w:p>
      <w:pPr>
        <w:widowControl/>
        <w:spacing w:before="100" w:beforeAutospacing="1" w:after="100" w:afterAutospacing="1" w:line="578" w:lineRule="exact"/>
        <w:ind w:firstLine="640" w:firstLineChars="200"/>
        <w:jc w:val="left"/>
        <w:rPr>
          <w:rFonts w:ascii="宋体" w:hAnsi="宋体" w:cs="宋体"/>
          <w:kern w:val="0"/>
          <w:sz w:val="24"/>
          <w:szCs w:val="24"/>
        </w:rPr>
      </w:pPr>
      <w:r>
        <w:rPr>
          <w:rFonts w:hint="eastAsia" w:ascii="仿宋_GB2312" w:hAnsi="宋体" w:eastAsia="仿宋_GB2312" w:cs="宋体"/>
          <w:kern w:val="0"/>
        </w:rPr>
        <w:t>未开展。</w:t>
      </w:r>
    </w:p>
    <w:p>
      <w:pPr>
        <w:widowControl/>
        <w:spacing w:before="100" w:beforeAutospacing="1" w:after="100" w:afterAutospacing="1" w:line="578" w:lineRule="exact"/>
        <w:ind w:firstLine="643" w:firstLineChars="200"/>
        <w:jc w:val="left"/>
        <w:rPr>
          <w:rFonts w:ascii="宋体" w:hAnsi="宋体" w:cs="宋体"/>
          <w:kern w:val="0"/>
          <w:sz w:val="24"/>
          <w:szCs w:val="24"/>
        </w:rPr>
      </w:pPr>
      <w:r>
        <w:rPr>
          <w:rFonts w:hint="eastAsia" w:ascii="楷体" w:hAnsi="楷体" w:eastAsia="楷体" w:cs="楷体"/>
          <w:b/>
          <w:kern w:val="0"/>
        </w:rPr>
        <w:t>（二）部门决算中项目绩效自评结果。</w:t>
      </w:r>
    </w:p>
    <w:p>
      <w:pPr>
        <w:widowControl/>
        <w:spacing w:before="100" w:beforeAutospacing="1" w:after="100" w:afterAutospacing="1" w:line="578" w:lineRule="exact"/>
        <w:ind w:firstLine="640" w:firstLineChars="200"/>
        <w:jc w:val="left"/>
        <w:rPr>
          <w:rFonts w:ascii="仿宋_GB2312" w:hAnsi="宋体" w:eastAsia="仿宋_GB2312" w:cs="宋体"/>
          <w:kern w:val="0"/>
        </w:rPr>
      </w:pPr>
      <w:r>
        <w:rPr>
          <w:rFonts w:hint="eastAsia" w:ascii="仿宋_GB2312" w:hAnsi="宋体" w:eastAsia="仿宋_GB2312" w:cs="宋体"/>
          <w:kern w:val="0"/>
        </w:rPr>
        <w:t>无。</w:t>
      </w:r>
    </w:p>
    <w:p>
      <w:pPr>
        <w:widowControl/>
        <w:numPr>
          <w:ilvl w:val="0"/>
          <w:numId w:val="3"/>
        </w:numPr>
        <w:spacing w:before="100" w:beforeAutospacing="1" w:after="100" w:afterAutospacing="1" w:line="578" w:lineRule="exact"/>
        <w:ind w:firstLine="643" w:firstLineChars="200"/>
        <w:jc w:val="left"/>
        <w:rPr>
          <w:rFonts w:ascii="楷体" w:hAnsi="楷体" w:eastAsia="楷体" w:cs="楷体"/>
          <w:b/>
          <w:kern w:val="0"/>
        </w:rPr>
      </w:pPr>
      <w:r>
        <w:rPr>
          <w:rFonts w:hint="eastAsia" w:ascii="楷体" w:hAnsi="楷体" w:eastAsia="楷体" w:cs="楷体"/>
          <w:b/>
          <w:kern w:val="0"/>
        </w:rPr>
        <w:t>重点项目绩效评价情况。</w:t>
      </w:r>
    </w:p>
    <w:p>
      <w:pPr>
        <w:widowControl/>
        <w:spacing w:before="100" w:beforeAutospacing="1" w:after="100" w:afterAutospacing="1" w:line="578" w:lineRule="exact"/>
        <w:jc w:val="left"/>
        <w:rPr>
          <w:rFonts w:ascii="楷体" w:hAnsi="楷体" w:eastAsia="楷体" w:cs="楷体"/>
          <w:b/>
          <w:kern w:val="0"/>
        </w:rPr>
      </w:pPr>
      <w:r>
        <w:rPr>
          <w:rFonts w:hint="eastAsia" w:ascii="楷体" w:hAnsi="楷体" w:eastAsia="楷体" w:cs="楷体"/>
          <w:b/>
          <w:kern w:val="0"/>
        </w:rPr>
        <w:t xml:space="preserve"> </w:t>
      </w:r>
      <w:r>
        <w:rPr>
          <w:rFonts w:hint="eastAsia" w:ascii="仿宋_GB2312" w:hAnsi="仿宋_GB2312" w:eastAsia="仿宋_GB2312" w:cs="仿宋_GB2312"/>
          <w:bCs/>
          <w:kern w:val="0"/>
        </w:rPr>
        <w:t xml:space="preserve">   无。</w:t>
      </w:r>
    </w:p>
    <w:p>
      <w:pPr>
        <w:widowControl/>
        <w:numPr>
          <w:ilvl w:val="0"/>
          <w:numId w:val="3"/>
        </w:numPr>
        <w:spacing w:before="100" w:beforeAutospacing="1" w:after="100" w:afterAutospacing="1" w:line="578" w:lineRule="exact"/>
        <w:ind w:firstLine="643" w:firstLineChars="200"/>
        <w:jc w:val="left"/>
        <w:rPr>
          <w:rFonts w:ascii="楷体" w:hAnsi="楷体" w:eastAsia="楷体" w:cs="楷体"/>
          <w:b/>
          <w:kern w:val="0"/>
        </w:rPr>
      </w:pPr>
      <w:r>
        <w:rPr>
          <w:rFonts w:hint="eastAsia" w:ascii="楷体" w:hAnsi="楷体" w:eastAsia="楷体" w:cs="楷体"/>
          <w:b/>
          <w:kern w:val="0"/>
        </w:rPr>
        <w:t>其他以部门为主体开展的项目绩效评价报告。</w:t>
      </w:r>
    </w:p>
    <w:p>
      <w:pPr>
        <w:widowControl/>
        <w:spacing w:before="100" w:beforeAutospacing="1" w:after="100" w:afterAutospacing="1" w:line="578" w:lineRule="exact"/>
        <w:jc w:val="left"/>
        <w:rPr>
          <w:rFonts w:ascii="仿宋_GB2312" w:hAnsi="仿宋_GB2312" w:eastAsia="仿宋_GB2312" w:cs="仿宋_GB2312"/>
          <w:bCs/>
          <w:kern w:val="0"/>
        </w:rPr>
      </w:pPr>
      <w:r>
        <w:rPr>
          <w:rFonts w:hint="eastAsia" w:ascii="仿宋_GB2312" w:hAnsi="仿宋_GB2312" w:eastAsia="仿宋_GB2312" w:cs="仿宋_GB2312"/>
          <w:bCs/>
          <w:kern w:val="0"/>
        </w:rPr>
        <w:t xml:space="preserve">    无。</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黑体" w:hAnsi="黑体" w:eastAsia="黑体" w:cs="黑体"/>
          <w:bCs/>
          <w:kern w:val="0"/>
        </w:rPr>
        <w:t>十二、其他重要事项情况说明。</w:t>
      </w:r>
    </w:p>
    <w:p>
      <w:pPr>
        <w:widowControl/>
        <w:spacing w:before="100" w:beforeAutospacing="1" w:after="100" w:afterAutospacing="1"/>
        <w:ind w:firstLine="643" w:firstLineChars="200"/>
        <w:jc w:val="left"/>
        <w:rPr>
          <w:rFonts w:ascii="宋体" w:hAnsi="宋体" w:cs="宋体"/>
          <w:kern w:val="0"/>
          <w:sz w:val="24"/>
          <w:szCs w:val="24"/>
        </w:rPr>
      </w:pPr>
      <w:bookmarkStart w:id="90" w:name="_Toc32639_WPSOffice_Level2"/>
      <w:bookmarkStart w:id="91" w:name="_Toc15262_WPSOffice_Level2"/>
      <w:bookmarkStart w:id="92" w:name="_Toc15565_WPSOffice_Level2"/>
      <w:bookmarkStart w:id="93" w:name="_Toc18325_WPSOffice_Level2"/>
      <w:bookmarkStart w:id="94" w:name="_Toc5978_WPSOffice_Level2"/>
      <w:bookmarkStart w:id="95" w:name="_Toc23598_WPSOffice_Level2"/>
      <w:r>
        <w:rPr>
          <w:rFonts w:hint="eastAsia" w:ascii="楷体" w:hAnsi="楷体" w:eastAsia="楷体" w:cs="楷体"/>
          <w:b/>
          <w:kern w:val="0"/>
        </w:rPr>
        <w:t>（一）机关运行经费支出情况。</w:t>
      </w:r>
      <w:bookmarkEnd w:id="90"/>
      <w:bookmarkEnd w:id="91"/>
      <w:bookmarkEnd w:id="92"/>
      <w:bookmarkEnd w:id="93"/>
      <w:bookmarkEnd w:id="94"/>
      <w:bookmarkEnd w:id="95"/>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中共三亚市崖州区委组织部部门机关运行经费11.18万元（为部门决算中行政单位和参公事业单位使用一般公共预算财政拨款安排的基本支出中的日常公用经费支出），比2017年度减少1.2万元，降低9.73%。主要原因是：一是合理安排机关运行经费支出；二是：缩减一般性支出。</w:t>
      </w:r>
    </w:p>
    <w:p>
      <w:pPr>
        <w:widowControl/>
        <w:spacing w:before="100" w:beforeAutospacing="1" w:after="100" w:afterAutospacing="1"/>
        <w:ind w:firstLine="643" w:firstLineChars="200"/>
        <w:jc w:val="left"/>
        <w:rPr>
          <w:rFonts w:ascii="宋体" w:hAnsi="宋体" w:cs="宋体"/>
          <w:kern w:val="0"/>
          <w:sz w:val="24"/>
          <w:szCs w:val="24"/>
        </w:rPr>
      </w:pPr>
      <w:bookmarkStart w:id="96" w:name="_Toc13084_WPSOffice_Level2"/>
      <w:bookmarkStart w:id="97" w:name="_Toc23966_WPSOffice_Level2"/>
      <w:bookmarkStart w:id="98" w:name="_Toc32689_WPSOffice_Level2"/>
      <w:bookmarkStart w:id="99" w:name="_Toc3131_WPSOffice_Level2"/>
      <w:bookmarkStart w:id="100" w:name="_Toc25333_WPSOffice_Level2"/>
      <w:bookmarkStart w:id="101" w:name="_Toc30383_WPSOffice_Level2"/>
      <w:r>
        <w:rPr>
          <w:rFonts w:hint="eastAsia" w:ascii="楷体" w:hAnsi="楷体" w:eastAsia="楷体" w:cs="楷体"/>
          <w:b/>
          <w:kern w:val="0"/>
        </w:rPr>
        <w:t>（二）政府采购支出情况。</w:t>
      </w:r>
      <w:bookmarkEnd w:id="96"/>
      <w:bookmarkEnd w:id="97"/>
      <w:bookmarkEnd w:id="98"/>
      <w:bookmarkEnd w:id="99"/>
      <w:bookmarkEnd w:id="100"/>
      <w:bookmarkEnd w:id="101"/>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2018年度中共三亚市崖州区委组织部部门政府采购支出总额24.64万元，其中：政府采购货物支出24.64万元、政府采购工程支出0万元、政府采购服务支出0万元。授予中小企业合同金额0万元，占政府采购支出总额的0%，其中：授予小微企业合同金额0万元，占政府采购支出总额的0%。</w:t>
      </w:r>
    </w:p>
    <w:p>
      <w:pPr>
        <w:widowControl/>
        <w:spacing w:before="100" w:beforeAutospacing="1" w:after="100" w:afterAutospacing="1"/>
        <w:ind w:firstLine="643" w:firstLineChars="200"/>
        <w:jc w:val="left"/>
        <w:rPr>
          <w:rFonts w:ascii="宋体" w:hAnsi="宋体" w:cs="宋体"/>
          <w:kern w:val="0"/>
          <w:sz w:val="24"/>
          <w:szCs w:val="24"/>
        </w:rPr>
      </w:pPr>
      <w:r>
        <w:rPr>
          <w:rFonts w:hint="eastAsia" w:ascii="楷体" w:hAnsi="楷体" w:eastAsia="楷体" w:cs="楷体"/>
          <w:b/>
          <w:kern w:val="0"/>
        </w:rPr>
        <w:t>（三）国有资产占用情况。</w:t>
      </w:r>
    </w:p>
    <w:p>
      <w:pPr>
        <w:widowControl/>
        <w:spacing w:before="100" w:beforeAutospacing="1" w:after="100" w:afterAutospacing="1"/>
        <w:ind w:firstLine="640" w:firstLineChars="200"/>
        <w:jc w:val="left"/>
        <w:rPr>
          <w:rFonts w:hint="eastAsia" w:ascii="仿宋_GB2312" w:hAnsi="ˎ̥" w:eastAsia="仿宋_GB2312" w:cs="宋体"/>
          <w:kern w:val="0"/>
        </w:rPr>
      </w:pPr>
      <w:r>
        <w:rPr>
          <w:rFonts w:hint="eastAsia" w:ascii="仿宋_GB2312" w:hAnsi="ˎ̥" w:eastAsia="仿宋_GB2312" w:cs="宋体"/>
          <w:kern w:val="0"/>
        </w:rPr>
        <w:t>截至2018年度12月31日，本部门共有车辆1辆，其中，副部（省）级及以上领导用车0辆、主要领导干部用车0辆、机要通信用车1辆、应急保障用车0辆、执法执勤用车0辆，特种专业技术用车0辆，离退休干部用车0辆，其他用车0辆；单位价值50万元以上通用设备0台（套），单价100万元以上专用设备0台（套）。</w:t>
      </w:r>
    </w:p>
    <w:p>
      <w:pPr>
        <w:widowControl/>
        <w:spacing w:before="100" w:beforeAutospacing="1" w:after="100" w:afterAutospacing="1" w:line="578" w:lineRule="exact"/>
        <w:ind w:firstLine="640" w:firstLineChars="200"/>
        <w:jc w:val="left"/>
        <w:rPr>
          <w:rFonts w:hint="eastAsia" w:ascii="仿宋_GB2312" w:hAnsi="ˎ̥" w:eastAsia="仿宋_GB2312" w:cs="宋体"/>
          <w:kern w:val="0"/>
        </w:rPr>
      </w:pPr>
      <w:r>
        <w:rPr>
          <w:rFonts w:hint="eastAsia" w:ascii="仿宋_GB2312" w:hAnsi="ˎ̥" w:eastAsia="仿宋_GB2312" w:cs="宋体"/>
          <w:kern w:val="0"/>
        </w:rPr>
        <w:t>本部门占用房屋面积0平方米，其中：办公用房0平方米，业务用房0平方米，其他（不含构筑物）0平方米。</w:t>
      </w:r>
    </w:p>
    <w:p>
      <w:pPr>
        <w:widowControl/>
        <w:spacing w:before="100" w:beforeAutospacing="1" w:after="100" w:afterAutospacing="1"/>
        <w:jc w:val="center"/>
        <w:rPr>
          <w:rFonts w:ascii="宋体" w:hAnsi="宋体" w:cs="宋体"/>
          <w:kern w:val="0"/>
          <w:sz w:val="24"/>
          <w:szCs w:val="24"/>
        </w:rPr>
      </w:pPr>
      <w:bookmarkStart w:id="102" w:name="_Toc8808_WPSOffice_Level1"/>
      <w:bookmarkStart w:id="103" w:name="_Toc8874_WPSOffice_Level1"/>
      <w:bookmarkStart w:id="104" w:name="_Toc11039_WPSOffice_Level1"/>
      <w:bookmarkStart w:id="105" w:name="_Toc17580_WPSOffice_Level1"/>
      <w:bookmarkStart w:id="106" w:name="_Toc15425_WPSOffice_Level1"/>
      <w:bookmarkStart w:id="107" w:name="_Toc4398_WPSOffice_Level1"/>
      <w:r>
        <w:rPr>
          <w:rFonts w:hint="eastAsia" w:ascii="黑体" w:hAnsi="ˎ̥" w:eastAsia="黑体" w:cs="宋体"/>
          <w:kern w:val="0"/>
        </w:rPr>
        <w:t>第四部分  名词解释</w:t>
      </w:r>
      <w:bookmarkEnd w:id="102"/>
      <w:bookmarkEnd w:id="103"/>
      <w:bookmarkEnd w:id="104"/>
      <w:bookmarkEnd w:id="105"/>
      <w:bookmarkEnd w:id="106"/>
      <w:bookmarkEnd w:id="107"/>
      <w:r>
        <w:rPr>
          <w:rFonts w:hint="eastAsia" w:ascii="黑体" w:hAnsi="ˎ̥" w:eastAsia="黑体" w:cs="宋体"/>
          <w:kern w:val="0"/>
        </w:rPr>
        <w:t> </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一、财政拨款收入：指本级财政当年拨付的资金。</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二、事业收入：指事业单位开展专业业务活动及辅助活动取得的收入。</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三、经营收入：指事业单位在专业业务活动及其辅助活动之外开展非独立核算经营活动取得的收入。</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四、其他收入：指除上述“财政拨款收入”“事业收入”“经营收入”等以外的收入。</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六、年初结转和结余：指以前年度尚未完成、结转到本年按有关规定继续使用的资金。</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七、结余分配：指事业单位按规定提取的职工福利基金、事业基金和缴纳的所得税，以及建设单位按规定应交回的基本建设竣工项目结余资金。</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八、年末结转和结余：指本年度或以前年度预算安排、因客观条件发生变化无法按原计划实施，需要延迟到以后年度按有关规定继续使用的资金。</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九、基本支出：指为保障机构正常运转、完成日常工作任务而发生的人员支出和公用支出。</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十、项目支出：指在基本支出之外为完成特定行政任务和事业发展目标所发生的支出。</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十一、经营支出：指事业单位在专业业务活动及其辅助活动之外开展非独立核算经营活动发生的支出。</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十 二、“三公”经费：纳入本级财政预决算管理的“三公”经费，是指本级部门用一般公共预算财政财政拨款安排的因公出国（境）费、公务用车购置及运行费和公务 接待费。其中，因公出国（境）费反映单位公务出国（境）的国际旅费、国外城市间交通费、住宿费、伙食费、培训费、公杂费等支出；公务用车购置及运行费反映 单位公务用车车辆购置支出（含车辆购置税）及租用费、燃料费、维修费、过路过桥费、保险费、安全奖励费用等支出；公务接待费反映单位按规定开支的各类公务 接待（含外宾接待）支出。</w:t>
      </w:r>
    </w:p>
    <w:p>
      <w:pPr>
        <w:widowControl/>
        <w:spacing w:before="100" w:beforeAutospacing="1" w:after="100" w:afterAutospacing="1"/>
        <w:ind w:firstLine="640" w:firstLineChars="200"/>
        <w:jc w:val="left"/>
        <w:rPr>
          <w:rFonts w:ascii="宋体" w:hAnsi="宋体" w:cs="宋体"/>
          <w:kern w:val="0"/>
          <w:sz w:val="24"/>
          <w:szCs w:val="24"/>
        </w:rPr>
      </w:pPr>
      <w:r>
        <w:rPr>
          <w:rFonts w:hint="eastAsia" w:ascii="仿宋_GB2312" w:hAnsi="ˎ̥" w:eastAsia="仿宋_GB2312" w:cs="宋体"/>
          <w:kern w:val="0"/>
        </w:rPr>
        <w:t>十 三、机关运行经费：为保障行政单位（含参照公务员法管理的事业单位）运行用于购买货物和服务的各项资金，包括办公及印刷费、邮电费、差旅费、会议费、福利 费、日常维修费、专用材料及一般设备购置费、办公用房水电费、办公用房取暖费、办公用房物业管理费、公务用车运行维护费以及其他费用。</w:t>
      </w:r>
    </w:p>
    <w:p>
      <w:pPr>
        <w:widowControl/>
        <w:spacing w:before="100" w:beforeAutospacing="1" w:after="100" w:afterAutospacing="1"/>
        <w:ind w:firstLine="645"/>
        <w:jc w:val="left"/>
        <w:rPr>
          <w:rFonts w:ascii="宋体" w:hAnsi="宋体" w:cs="宋体"/>
          <w:kern w:val="0"/>
          <w:sz w:val="24"/>
          <w:szCs w:val="24"/>
        </w:rPr>
      </w:pPr>
      <w:r>
        <w:rPr>
          <w:rFonts w:hint="eastAsia" w:ascii="仿宋_GB2312" w:hAnsi="ˎ̥" w:eastAsia="仿宋_GB2312" w:cs="宋体"/>
          <w:kern w:val="0"/>
        </w:rPr>
        <w:t>十四、（支出功能分类的名词解释，各部门（单位）根据实际支出情况填列）</w:t>
      </w:r>
    </w:p>
    <w:p>
      <w:pPr>
        <w:widowControl/>
        <w:spacing w:before="100" w:beforeAutospacing="1" w:after="100" w:afterAutospacing="1"/>
        <w:jc w:val="left"/>
        <w:rPr>
          <w:rFonts w:ascii="宋体" w:hAnsi="宋体" w:cs="宋体"/>
          <w:kern w:val="0"/>
          <w:sz w:val="24"/>
          <w:szCs w:val="24"/>
        </w:rPr>
      </w:pPr>
      <w:r>
        <w:rPr>
          <w:rFonts w:hint="eastAsia" w:ascii="仿宋_GB2312" w:hAnsi="ˎ̥" w:eastAsia="仿宋_GB2312" w:cs="宋体"/>
          <w:kern w:val="0"/>
        </w:rPr>
        <w:t>……</w:t>
      </w:r>
    </w:p>
    <w:p>
      <w:pPr>
        <w:widowControl/>
        <w:spacing w:before="100" w:beforeAutospacing="1" w:after="100" w:afterAutospacing="1" w:line="578" w:lineRule="exact"/>
        <w:ind w:firstLine="640" w:firstLineChars="200"/>
        <w:jc w:val="left"/>
        <w:rPr>
          <w:rFonts w:hint="eastAsia" w:ascii="仿宋_GB2312" w:hAnsi="ˎ̥" w:eastAsia="仿宋_GB2312" w:cs="宋体"/>
          <w:kern w:val="0"/>
        </w:rPr>
      </w:pPr>
    </w:p>
    <w:p>
      <w:pPr>
        <w:widowControl/>
        <w:spacing w:before="100" w:beforeAutospacing="1" w:after="100" w:afterAutospacing="1"/>
        <w:ind w:firstLine="640" w:firstLineChars="200"/>
        <w:jc w:val="left"/>
        <w:rPr>
          <w:rFonts w:hint="eastAsia" w:ascii="仿宋_GB2312" w:hAnsi="ˎ̥" w:eastAsia="仿宋_GB2312" w:cs="宋体"/>
          <w:kern w:val="0"/>
        </w:rPr>
      </w:pPr>
    </w:p>
    <w:p>
      <w:pPr>
        <w:widowControl/>
        <w:spacing w:before="100" w:beforeAutospacing="1" w:after="100" w:afterAutospacing="1"/>
        <w:ind w:firstLine="640" w:firstLineChars="200"/>
        <w:jc w:val="left"/>
        <w:rPr>
          <w:rFonts w:hint="eastAsia" w:ascii="仿宋_GB2312" w:hAnsi="ˎ̥" w:eastAsia="仿宋_GB2312" w:cs="宋体"/>
          <w:kern w:val="0"/>
        </w:rPr>
      </w:pPr>
    </w:p>
    <w:p>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Palatino Linotype"/>
    <w:panose1 w:val="02040503050406030204"/>
    <w:charset w:val="00"/>
    <w:family w:val="decorative"/>
    <w:pitch w:val="default"/>
    <w:sig w:usb0="00000000" w:usb1="00000000" w:usb2="00000000" w:usb3="00000000" w:csb0="0000019F" w:csb1="00000000"/>
  </w:font>
  <w:font w:name="Calibri">
    <w:altName w:val="Lucida Sans Unicode"/>
    <w:panose1 w:val="020F0502020204030204"/>
    <w:charset w:val="00"/>
    <w:family w:val="modern"/>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Calibri">
    <w:altName w:val="Lucida Sans Unicode"/>
    <w:panose1 w:val="020F0502020204030204"/>
    <w:charset w:val="00"/>
    <w:family w:val="roman"/>
    <w:pitch w:val="default"/>
    <w:sig w:usb0="00000000" w:usb1="00000000" w:usb2="00000009" w:usb3="00000000" w:csb0="2000019F" w:csb1="00000000"/>
  </w:font>
  <w:font w:name="ˎ̥">
    <w:altName w:val="Times New Roman"/>
    <w:panose1 w:val="00000000000000000000"/>
    <w:charset w:val="00"/>
    <w:family w:val="auto"/>
    <w:pitch w:val="default"/>
    <w:sig w:usb0="00000000" w:usb1="00000000" w:usb2="00000000" w:usb3="00000000" w:csb0="00000000" w:csb1="00000000"/>
  </w:font>
  <w:font w:name="仿宋">
    <w:altName w:val="仿宋_GB2312"/>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Lucida Sans Unicode">
    <w:panose1 w:val="020B0602030504020204"/>
    <w:charset w:val="00"/>
    <w:family w:val="roman"/>
    <w:pitch w:val="default"/>
    <w:sig w:usb0="80001AFF" w:usb1="0000396B" w:usb2="00000000" w:usb3="00000000" w:csb0="0000003F" w:csb1="D7F70000"/>
  </w:font>
  <w:font w:name="Lucida Sans Unicode">
    <w:panose1 w:val="020B0602030504020204"/>
    <w:charset w:val="00"/>
    <w:family w:val="roman"/>
    <w:pitch w:val="default"/>
    <w:sig w:usb0="80001AFF" w:usb1="0000396B" w:usb2="00000000" w:usb3="00000000" w:csb0="0000003F" w:csb1="D7F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71792210">
    <w:nsid w:val="5DAFA552"/>
    <w:multiLevelType w:val="singleLevel"/>
    <w:tmpl w:val="5DAFA552"/>
    <w:lvl w:ilvl="0" w:tentative="1">
      <w:start w:val="2"/>
      <w:numFmt w:val="decimal"/>
      <w:suff w:val="nothing"/>
      <w:lvlText w:val="（%1）"/>
      <w:lvlJc w:val="left"/>
    </w:lvl>
  </w:abstractNum>
  <w:abstractNum w:abstractNumId="1571650584">
    <w:nsid w:val="5DAD7C18"/>
    <w:multiLevelType w:val="singleLevel"/>
    <w:tmpl w:val="5DAD7C18"/>
    <w:lvl w:ilvl="0" w:tentative="1">
      <w:start w:val="1"/>
      <w:numFmt w:val="chineseCounting"/>
      <w:suff w:val="nothing"/>
      <w:lvlText w:val="%1、"/>
      <w:lvlJc w:val="left"/>
    </w:lvl>
  </w:abstractNum>
  <w:abstractNum w:abstractNumId="1571196240">
    <w:nsid w:val="5DA68D50"/>
    <w:multiLevelType w:val="singleLevel"/>
    <w:tmpl w:val="5DA68D50"/>
    <w:lvl w:ilvl="0" w:tentative="1">
      <w:start w:val="3"/>
      <w:numFmt w:val="chineseCounting"/>
      <w:suff w:val="nothing"/>
      <w:lvlText w:val="（%1）"/>
      <w:lvlJc w:val="left"/>
    </w:lvl>
  </w:abstractNum>
  <w:num w:numId="1">
    <w:abstractNumId w:val="1571650584"/>
  </w:num>
  <w:num w:numId="2">
    <w:abstractNumId w:val="1571792210"/>
  </w:num>
  <w:num w:numId="3">
    <w:abstractNumId w:val="15711962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21F2E"/>
    <w:rsid w:val="00AF4D30"/>
    <w:rsid w:val="00BC3640"/>
    <w:rsid w:val="00BD0EBC"/>
    <w:rsid w:val="03BB4706"/>
    <w:rsid w:val="05AF08BF"/>
    <w:rsid w:val="076529EC"/>
    <w:rsid w:val="14426CD4"/>
    <w:rsid w:val="195D786E"/>
    <w:rsid w:val="1A921F2E"/>
    <w:rsid w:val="2D1418D8"/>
    <w:rsid w:val="410A4C4B"/>
    <w:rsid w:val="52BC0DB0"/>
    <w:rsid w:val="52C1018E"/>
    <w:rsid w:val="6A90347D"/>
    <w:rsid w:val="755456D1"/>
    <w:rsid w:val="77F35760"/>
    <w:rsid w:val="77F91DC8"/>
    <w:rsid w:val="7B5D08C3"/>
    <w:rsid w:val="7CD075F3"/>
    <w:rsid w:val="7DED00C7"/>
    <w:rsid w:val="7FA14E1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32"/>
      <w:szCs w:val="3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WPSOffice手动目录 1"/>
    <w:qFormat/>
    <w:uiPriority w:val="0"/>
    <w:rPr>
      <w:rFonts w:ascii="Times New Roman" w:hAnsi="Times New Roman" w:eastAsia="宋体" w:cs="Times New Roman"/>
      <w:lang w:val="en-US" w:eastAsia="zh-CN" w:bidi="ar-SA"/>
    </w:rPr>
  </w:style>
  <w:style w:type="paragraph" w:customStyle="1" w:styleId="7">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20</Pages>
  <Words>1189</Words>
  <Characters>6781</Characters>
  <Lines>56</Lines>
  <Paragraphs>15</Paragraphs>
  <ScaleCrop>false</ScaleCrop>
  <LinksUpToDate>false</LinksUpToDate>
  <CharactersWithSpaces>7955</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2019-10-21T08:48:00Z</dcterms:created>
  <dc:creator>LENOVO</dc:creator>
  <cp:lastModifiedBy>杨宝</cp:lastModifiedBy>
  <cp:lastPrinted>2019-10-23T01:01:00Z</cp:lastPrinted>
  <dcterms:modified xsi:type="dcterms:W3CDTF">2019-10-28T08:58:58Z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