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lang w:val="en-US" w:eastAsia="zh-CN"/>
        </w:rPr>
        <w:t>2018</w:t>
      </w:r>
      <w:r>
        <w:rPr>
          <w:rFonts w:hint="eastAsia" w:ascii="方正小标宋简体" w:hAnsi="方正小标宋简体" w:eastAsia="方正小标宋简体" w:cs="方正小标宋简体"/>
          <w:sz w:val="72"/>
          <w:szCs w:val="72"/>
        </w:rPr>
        <w:t>年</w:t>
      </w:r>
      <w:r>
        <w:rPr>
          <w:rFonts w:hint="eastAsia" w:ascii="方正小标宋简体" w:hAnsi="方正小标宋简体" w:eastAsia="方正小标宋简体" w:cs="方正小标宋简体"/>
          <w:sz w:val="72"/>
          <w:szCs w:val="72"/>
          <w:lang w:eastAsia="zh-CN"/>
        </w:rPr>
        <w:t>中共三亚市崖州</w:t>
      </w:r>
      <w:r>
        <w:rPr>
          <w:rFonts w:hint="eastAsia" w:ascii="方正小标宋简体" w:hAnsi="方正小标宋简体" w:eastAsia="方正小标宋简体" w:cs="方正小标宋简体"/>
          <w:sz w:val="72"/>
          <w:szCs w:val="72"/>
          <w:lang w:val="en-US" w:eastAsia="zh-CN"/>
        </w:rPr>
        <w:t xml:space="preserve">   </w:t>
      </w:r>
      <w:r>
        <w:rPr>
          <w:rFonts w:hint="eastAsia" w:ascii="方正小标宋简体" w:hAnsi="方正小标宋简体" w:eastAsia="方正小标宋简体" w:cs="方正小标宋简体"/>
          <w:sz w:val="72"/>
          <w:szCs w:val="72"/>
          <w:lang w:eastAsia="zh-CN"/>
        </w:rPr>
        <w:t>区委宣传部</w:t>
      </w:r>
      <w:r>
        <w:rPr>
          <w:rFonts w:hint="eastAsia" w:ascii="方正小标宋简体" w:hAnsi="方正小标宋简体" w:eastAsia="方正小标宋简体" w:cs="方正小标宋简体"/>
          <w:sz w:val="72"/>
          <w:szCs w:val="7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30"/>
          <w:szCs w:val="30"/>
        </w:rPr>
      </w:pPr>
    </w:p>
    <w:p>
      <w:pPr>
        <w:rPr>
          <w:sz w:val="30"/>
          <w:szCs w:val="30"/>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中共三亚市崖州区委宣传部</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3"/>
        </w:numPr>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省级财力安排的专项转移支付预算表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年部门预算</w:t>
      </w:r>
      <w:r>
        <w:rPr>
          <w:rFonts w:hint="eastAsia" w:ascii="黑体" w:hAnsi="黑体" w:eastAsia="黑体"/>
          <w:sz w:val="32"/>
          <w:szCs w:val="32"/>
          <w:lang w:eastAsia="zh-CN"/>
        </w:rPr>
        <w:t>情</w:t>
      </w:r>
      <w:r>
        <w:rPr>
          <w:rFonts w:hint="eastAsia" w:ascii="黑体" w:hAnsi="黑体" w:eastAsia="黑体"/>
          <w:sz w:val="32"/>
          <w:szCs w:val="32"/>
        </w:rPr>
        <w:t>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0" w:leftChars="0" w:firstLine="0" w:firstLineChars="0"/>
        <w:jc w:val="left"/>
        <w:rPr>
          <w:rFonts w:ascii="黑体" w:hAnsi="黑体" w:eastAsia="黑体"/>
          <w:sz w:val="32"/>
          <w:szCs w:val="32"/>
        </w:rPr>
      </w:pPr>
    </w:p>
    <w:p>
      <w:pPr>
        <w:pStyle w:val="6"/>
        <w:keepNext w:val="0"/>
        <w:keepLines w:val="0"/>
        <w:pageBreakBefore w:val="0"/>
        <w:numPr>
          <w:ilvl w:val="0"/>
          <w:numId w:val="4"/>
        </w:numPr>
        <w:kinsoku/>
        <w:wordWrap/>
        <w:overflowPunct/>
        <w:topLinePunct w:val="0"/>
        <w:bidi w:val="0"/>
        <w:snapToGrid/>
        <w:spacing w:beforeAutospacing="0" w:afterAutospacing="0" w:line="560" w:lineRule="exact"/>
        <w:ind w:right="0" w:rightChars="0" w:firstLineChars="0"/>
        <w:jc w:val="center"/>
        <w:textAlignment w:val="auto"/>
        <w:outlineLvl w:val="9"/>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中共三亚市崖州区委宣传部</w:t>
      </w:r>
      <w:r>
        <w:rPr>
          <w:rFonts w:hint="eastAsia" w:ascii="黑体" w:hAnsi="黑体" w:eastAsia="黑体"/>
          <w:sz w:val="32"/>
          <w:szCs w:val="32"/>
        </w:rPr>
        <w:t>概况</w:t>
      </w:r>
    </w:p>
    <w:p>
      <w:pPr>
        <w:pStyle w:val="6"/>
        <w:keepNext w:val="0"/>
        <w:keepLines w:val="0"/>
        <w:pageBreakBefore w:val="0"/>
        <w:numPr>
          <w:ilvl w:val="0"/>
          <w:numId w:val="5"/>
        </w:numPr>
        <w:kinsoku/>
        <w:wordWrap/>
        <w:overflowPunct/>
        <w:topLinePunct w:val="0"/>
        <w:bidi w:val="0"/>
        <w:snapToGrid/>
        <w:spacing w:beforeAutospacing="0" w:afterAutospacing="0" w:line="560" w:lineRule="exact"/>
        <w:ind w:right="0" w:rightChars="0" w:firstLineChars="0"/>
        <w:jc w:val="left"/>
        <w:textAlignment w:val="auto"/>
        <w:outlineLvl w:val="9"/>
        <w:rPr>
          <w:rFonts w:ascii="黑体" w:hAnsi="黑体" w:eastAsia="黑体" w:cs="仿宋_GB2312"/>
          <w:sz w:val="32"/>
          <w:szCs w:val="32"/>
        </w:rPr>
      </w:pPr>
      <w:r>
        <w:rPr>
          <w:rFonts w:hint="eastAsia" w:ascii="黑体" w:hAnsi="黑体" w:eastAsia="黑体"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（一）贯彻执行省委、市委有关宣传和新闻发布工作的方针政策；拟定并组织实施全区宣传工作的发展规划与计划。</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（二）加强对意识形态领域工作的指导与协调，开展调查研究，掌握社会思想动态，负责全区社会宣传工作。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（三）制定全区政治理论学习计划并督促检查，协助党委制定党委理论学习中心组学习计划并组织实施，指导各党总支（直属党支部）的政治学习。</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（四）负责指导全区理论研究、理论宣传和理论教育工作。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（五）负责全区网络宣传和网络舆情管理工作，负责协调、督促区相关部门处置、引导相关舆情工作，引导社会舆论，坚持正确的舆论导向。</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六）负责从宏观上指导全区精神产品的生产，拟定并组织实施全区精神文明建设总体规划，协调指导全区开展精神文明建设活动；整体规划和组织开展全区创建全国文明城市活动，指导文化建设，营造文明健康的文化氛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（七）负责全区的对外宣传工作，指导和协调各有关部门做好对外宣传工作。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（八）负责规划、部署全区的思想政治工作任务；配合区委组织部做好党员教育工作；指导协调各部门开展国防教育和普法教育。</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（九）负责全区宣传干部队伍建设，组织实施宣传文化系统工作人员的教育培训工作。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（十）负责全区重要事件和重大活动的新闻摄影、摄像、采写、编播和资料归档保存工作。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（十一）负责全区社会文化工作和文化市场的宏观管理，指导全区文化产业发展和文化体制改革。</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31680" w:firstLineChars="200"/>
        <w:jc w:val="left"/>
        <w:textAlignment w:val="auto"/>
        <w:outlineLvl w:val="9"/>
        <w:rPr>
          <w:rFonts w:ascii="仿宋_GB2312" w:eastAsia="仿宋_GB2312"/>
          <w:sz w:val="32"/>
          <w:szCs w:val="32"/>
        </w:rPr>
      </w:pPr>
      <w:r>
        <w:rPr>
          <w:rFonts w:hint="eastAsia" w:ascii="仿宋_GB2312" w:eastAsia="仿宋_GB2312"/>
          <w:sz w:val="32"/>
          <w:szCs w:val="32"/>
        </w:rPr>
        <w:t>（十二）负责全区党报党刊征订工作。</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jc w:val="left"/>
        <w:textAlignment w:val="auto"/>
        <w:outlineLvl w:val="9"/>
        <w:rPr>
          <w:rFonts w:hint="eastAsia" w:ascii="黑体" w:hAnsi="黑体" w:eastAsia="黑体" w:cs="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（十三）承办区委和上级部门交办的其他工作。</w:t>
      </w:r>
    </w:p>
    <w:p>
      <w:pPr>
        <w:pStyle w:val="6"/>
        <w:keepNext w:val="0"/>
        <w:keepLines w:val="0"/>
        <w:pageBreakBefore w:val="0"/>
        <w:numPr>
          <w:ilvl w:val="0"/>
          <w:numId w:val="0"/>
        </w:numPr>
        <w:kinsoku/>
        <w:wordWrap/>
        <w:overflowPunct/>
        <w:topLinePunct w:val="0"/>
        <w:bidi w:val="0"/>
        <w:snapToGrid/>
        <w:spacing w:beforeAutospacing="0" w:afterAutospacing="0" w:line="560" w:lineRule="exact"/>
        <w:ind w:leftChars="0" w:right="0" w:rightChars="0"/>
        <w:jc w:val="left"/>
        <w:textAlignment w:val="auto"/>
        <w:outlineLvl w:val="9"/>
        <w:rPr>
          <w:rFonts w:ascii="仿宋_GB2312" w:hAnsi="黑体" w:eastAsia="仿宋_GB2312"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pStyle w:val="6"/>
        <w:keepNext w:val="0"/>
        <w:keepLines w:val="0"/>
        <w:pageBreakBefore w:val="0"/>
        <w:numPr>
          <w:ilvl w:val="0"/>
          <w:numId w:val="0"/>
        </w:numPr>
        <w:kinsoku/>
        <w:wordWrap/>
        <w:overflowPunct/>
        <w:topLinePunct w:val="0"/>
        <w:bidi w:val="0"/>
        <w:snapToGrid/>
        <w:spacing w:beforeAutospacing="0" w:afterAutospacing="0" w:line="560" w:lineRule="exact"/>
        <w:ind w:leftChars="0" w:right="0" w:rightChars="0" w:firstLine="640"/>
        <w:jc w:val="left"/>
        <w:textAlignment w:val="auto"/>
        <w:outlineLvl w:val="9"/>
        <w:rPr>
          <w:rFonts w:hint="eastAsia" w:ascii="仿宋_GB2312" w:eastAsia="仿宋_GB2312"/>
          <w:kern w:val="0"/>
          <w:sz w:val="32"/>
          <w:szCs w:val="32"/>
        </w:rPr>
      </w:pPr>
      <w:r>
        <w:rPr>
          <w:rFonts w:hint="eastAsia" w:ascii="仿宋_GB2312" w:eastAsia="仿宋_GB2312"/>
          <w:kern w:val="0"/>
          <w:sz w:val="32"/>
          <w:szCs w:val="32"/>
        </w:rPr>
        <w:t>核定三亚市崖州区委宣传部行政编制为</w:t>
      </w:r>
      <w:r>
        <w:rPr>
          <w:rFonts w:ascii="仿宋_GB2312" w:eastAsia="仿宋_GB2312"/>
          <w:kern w:val="0"/>
          <w:sz w:val="32"/>
          <w:szCs w:val="32"/>
        </w:rPr>
        <w:t>3</w:t>
      </w:r>
      <w:r>
        <w:rPr>
          <w:rFonts w:hint="eastAsia" w:ascii="仿宋_GB2312" w:eastAsia="仿宋_GB2312"/>
          <w:kern w:val="0"/>
          <w:sz w:val="32"/>
          <w:szCs w:val="32"/>
        </w:rPr>
        <w:t>名。其中副部长</w:t>
      </w:r>
      <w:r>
        <w:rPr>
          <w:rFonts w:ascii="仿宋_GB2312" w:eastAsia="仿宋_GB2312"/>
          <w:kern w:val="0"/>
          <w:sz w:val="32"/>
          <w:szCs w:val="32"/>
        </w:rPr>
        <w:t>2</w:t>
      </w:r>
      <w:r>
        <w:rPr>
          <w:rFonts w:hint="eastAsia" w:ascii="仿宋_GB2312" w:eastAsia="仿宋_GB2312"/>
          <w:kern w:val="0"/>
          <w:sz w:val="32"/>
          <w:szCs w:val="32"/>
        </w:rPr>
        <w:t>名</w:t>
      </w:r>
      <w:r>
        <w:rPr>
          <w:rFonts w:hint="eastAsia" w:ascii="仿宋_GB2312" w:eastAsia="仿宋_GB2312"/>
          <w:kern w:val="0"/>
          <w:sz w:val="32"/>
          <w:szCs w:val="32"/>
          <w:lang w:eastAsia="zh-CN"/>
        </w:rPr>
        <w:t>，科员</w:t>
      </w:r>
      <w:r>
        <w:rPr>
          <w:rFonts w:hint="eastAsia" w:ascii="仿宋_GB2312" w:eastAsia="仿宋_GB2312"/>
          <w:kern w:val="0"/>
          <w:sz w:val="32"/>
          <w:szCs w:val="32"/>
          <w:lang w:val="en-US" w:eastAsia="zh-CN"/>
        </w:rPr>
        <w:t>1名，无内设机构</w:t>
      </w:r>
      <w:r>
        <w:rPr>
          <w:rFonts w:hint="eastAsia" w:ascii="仿宋_GB2312" w:eastAsia="仿宋_GB2312"/>
          <w:kern w:val="0"/>
          <w:sz w:val="32"/>
          <w:szCs w:val="32"/>
        </w:rPr>
        <w:t>。</w:t>
      </w:r>
    </w:p>
    <w:p>
      <w:pPr>
        <w:pStyle w:val="6"/>
        <w:keepNext w:val="0"/>
        <w:keepLines w:val="0"/>
        <w:pageBreakBefore w:val="0"/>
        <w:numPr>
          <w:ilvl w:val="0"/>
          <w:numId w:val="0"/>
        </w:numPr>
        <w:kinsoku/>
        <w:wordWrap/>
        <w:overflowPunct/>
        <w:topLinePunct w:val="0"/>
        <w:bidi w:val="0"/>
        <w:snapToGrid/>
        <w:spacing w:beforeAutospacing="0" w:afterAutospacing="0" w:line="560" w:lineRule="exact"/>
        <w:ind w:leftChars="0" w:right="0" w:rightChars="0" w:firstLine="640"/>
        <w:jc w:val="left"/>
        <w:textAlignment w:val="auto"/>
        <w:outlineLvl w:val="9"/>
        <w:rPr>
          <w:rFonts w:ascii="仿宋_GB2312" w:hAnsi="黑体" w:eastAsia="仿宋_GB2312" w:cs="仿宋_GB2312"/>
          <w:sz w:val="32"/>
          <w:szCs w:val="32"/>
        </w:rPr>
      </w:pPr>
      <w:r>
        <w:rPr>
          <w:rFonts w:ascii="仿宋_GB2312" w:hAnsi="黑体" w:eastAsia="仿宋_GB2312" w:cs="仿宋_GB2312"/>
          <w:sz w:val="32"/>
          <w:szCs w:val="32"/>
        </w:rPr>
        <w:t>201</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年</w:t>
      </w:r>
      <w:r>
        <w:rPr>
          <w:rFonts w:hint="eastAsia" w:ascii="仿宋_GB2312" w:hAnsi="黑体" w:eastAsia="仿宋_GB2312" w:cs="黑体"/>
          <w:sz w:val="32"/>
          <w:szCs w:val="32"/>
        </w:rPr>
        <w:t>中共三亚市崖州区委宣传部</w:t>
      </w:r>
      <w:r>
        <w:rPr>
          <w:rFonts w:hint="eastAsia" w:ascii="仿宋_GB2312" w:hAnsi="黑体" w:eastAsia="仿宋_GB2312" w:cs="仿宋_GB2312"/>
          <w:sz w:val="32"/>
          <w:szCs w:val="32"/>
        </w:rPr>
        <w:t>预算编制范围的预算单位包括：</w:t>
      </w:r>
    </w:p>
    <w:p>
      <w:pPr>
        <w:keepNext w:val="0"/>
        <w:keepLines w:val="0"/>
        <w:pageBreakBefore w:val="0"/>
        <w:widowControl/>
        <w:numPr>
          <w:ilvl w:val="0"/>
          <w:numId w:val="6"/>
        </w:numPr>
        <w:kinsoku/>
        <w:wordWrap/>
        <w:overflowPunct/>
        <w:topLinePunct w:val="0"/>
        <w:bidi w:val="0"/>
        <w:snapToGrid/>
        <w:spacing w:beforeAutospacing="0" w:afterAutospacing="0" w:line="560" w:lineRule="exact"/>
        <w:ind w:right="0" w:rightChars="0" w:firstLine="31680" w:firstLineChars="200"/>
        <w:jc w:val="left"/>
        <w:textAlignment w:val="auto"/>
        <w:outlineLvl w:val="9"/>
        <w:rPr>
          <w:rFonts w:hint="eastAsia" w:ascii="仿宋_GB2312" w:eastAsia="仿宋_GB2312"/>
          <w:kern w:val="0"/>
          <w:sz w:val="32"/>
          <w:szCs w:val="32"/>
        </w:rPr>
      </w:pPr>
      <w:r>
        <w:rPr>
          <w:rFonts w:hint="eastAsia" w:ascii="仿宋_GB2312" w:eastAsia="仿宋_GB2312"/>
          <w:kern w:val="0"/>
          <w:sz w:val="32"/>
          <w:szCs w:val="32"/>
        </w:rPr>
        <w:t>中共三亚市崖州区委宣传部本级</w:t>
      </w:r>
    </w:p>
    <w:p>
      <w:pPr>
        <w:keepNext w:val="0"/>
        <w:keepLines w:val="0"/>
        <w:pageBreakBefore w:val="0"/>
        <w:widowControl/>
        <w:numPr>
          <w:ilvl w:val="0"/>
          <w:numId w:val="0"/>
        </w:numPr>
        <w:kinsoku/>
        <w:wordWrap/>
        <w:overflowPunct/>
        <w:topLinePunct w:val="0"/>
        <w:bidi w:val="0"/>
        <w:snapToGrid/>
        <w:spacing w:beforeAutospacing="0" w:afterAutospacing="0" w:line="560" w:lineRule="exact"/>
        <w:ind w:right="0" w:rightChars="0"/>
        <w:jc w:val="left"/>
        <w:textAlignment w:val="auto"/>
        <w:outlineLvl w:val="9"/>
        <w:rPr>
          <w:rFonts w:hint="eastAsia" w:ascii="仿宋_GB2312" w:eastAsia="仿宋_GB2312"/>
          <w:kern w:val="0"/>
          <w:sz w:val="32"/>
          <w:szCs w:val="32"/>
        </w:rPr>
      </w:pPr>
    </w:p>
    <w:p>
      <w:pPr>
        <w:keepNext w:val="0"/>
        <w:keepLines w:val="0"/>
        <w:pageBreakBefore w:val="0"/>
        <w:kinsoku/>
        <w:wordWrap/>
        <w:overflowPunct/>
        <w:topLinePunct w:val="0"/>
        <w:bidi w:val="0"/>
        <w:snapToGrid/>
        <w:spacing w:beforeAutospacing="0" w:afterAutospacing="0" w:line="560" w:lineRule="exact"/>
        <w:ind w:right="0" w:rightChars="0"/>
        <w:jc w:val="center"/>
        <w:textAlignment w:val="auto"/>
        <w:outlineLvl w:val="9"/>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年部门预算表</w:t>
      </w:r>
    </w:p>
    <w:p>
      <w:pPr>
        <w:keepNext w:val="0"/>
        <w:keepLines w:val="0"/>
        <w:pageBreakBefore w:val="0"/>
        <w:kinsoku/>
        <w:wordWrap/>
        <w:overflowPunct/>
        <w:topLinePunct w:val="0"/>
        <w:bidi w:val="0"/>
        <w:snapToGrid/>
        <w:spacing w:beforeAutospacing="0" w:afterAutospacing="0" w:line="560" w:lineRule="exact"/>
        <w:ind w:left="800" w:right="0" w:rightChars="0"/>
        <w:jc w:val="left"/>
        <w:textAlignment w:val="auto"/>
        <w:outlineLvl w:val="9"/>
        <w:rPr>
          <w:rFonts w:hint="eastAsia" w:ascii="黑体" w:hAnsi="黑体" w:eastAsia="黑体"/>
          <w:sz w:val="32"/>
          <w:szCs w:val="32"/>
          <w:lang w:eastAsia="zh-CN"/>
        </w:rPr>
      </w:pPr>
    </w:p>
    <w:p>
      <w:pPr>
        <w:keepNext w:val="0"/>
        <w:keepLines w:val="0"/>
        <w:pageBreakBefore w:val="0"/>
        <w:kinsoku/>
        <w:wordWrap/>
        <w:overflowPunct/>
        <w:topLinePunct w:val="0"/>
        <w:bidi w:val="0"/>
        <w:snapToGrid/>
        <w:spacing w:beforeAutospacing="0" w:afterAutospacing="0" w:line="560" w:lineRule="exact"/>
        <w:ind w:left="800" w:right="0" w:rightChars="0"/>
        <w:jc w:val="center"/>
        <w:textAlignment w:val="auto"/>
        <w:outlineLvl w:val="9"/>
        <w:rPr>
          <w:rFonts w:ascii="仿宋_GB2312" w:hAnsi="黑体" w:eastAsia="仿宋_GB2312"/>
          <w:b/>
          <w:sz w:val="32"/>
          <w:szCs w:val="32"/>
        </w:rPr>
      </w:pPr>
      <w:r>
        <w:rPr>
          <w:rFonts w:hint="eastAsia" w:ascii="仿宋_GB2312" w:hAnsi="黑体" w:eastAsia="仿宋_GB2312"/>
          <w:b/>
          <w:sz w:val="32"/>
          <w:szCs w:val="32"/>
        </w:rPr>
        <w:t>（此部分内容即为部门预算公开表，详见附件</w:t>
      </w:r>
      <w:r>
        <w:rPr>
          <w:rFonts w:ascii="仿宋_GB2312" w:hAnsi="黑体" w:eastAsia="仿宋_GB2312"/>
          <w:b/>
          <w:sz w:val="32"/>
          <w:szCs w:val="32"/>
        </w:rPr>
        <w:t>1</w:t>
      </w:r>
      <w:r>
        <w:rPr>
          <w:rFonts w:hint="eastAsia" w:ascii="仿宋_GB2312" w:hAnsi="黑体" w:eastAsia="仿宋_GB2312"/>
          <w:b/>
          <w:sz w:val="32"/>
          <w:szCs w:val="32"/>
        </w:rPr>
        <w:t>）</w:t>
      </w:r>
    </w:p>
    <w:p>
      <w:pPr>
        <w:keepNext w:val="0"/>
        <w:keepLines w:val="0"/>
        <w:pageBreakBefore w:val="0"/>
        <w:kinsoku/>
        <w:wordWrap/>
        <w:overflowPunct/>
        <w:topLinePunct w:val="0"/>
        <w:bidi w:val="0"/>
        <w:snapToGrid/>
        <w:spacing w:beforeAutospacing="0" w:afterAutospacing="0" w:line="560" w:lineRule="exact"/>
        <w:ind w:right="0" w:rightChars="0"/>
        <w:textAlignment w:val="auto"/>
        <w:outlineLvl w:val="9"/>
        <w:rPr>
          <w:rFonts w:ascii="黑体" w:hAnsi="黑体" w:eastAsia="黑体"/>
          <w:sz w:val="32"/>
          <w:szCs w:val="32"/>
        </w:rPr>
      </w:pPr>
    </w:p>
    <w:p>
      <w:pPr>
        <w:keepNext w:val="0"/>
        <w:keepLines w:val="0"/>
        <w:pageBreakBefore w:val="0"/>
        <w:kinsoku/>
        <w:wordWrap/>
        <w:overflowPunct/>
        <w:topLinePunct w:val="0"/>
        <w:bidi w:val="0"/>
        <w:snapToGrid/>
        <w:spacing w:beforeAutospacing="0" w:afterAutospacing="0" w:line="560" w:lineRule="exact"/>
        <w:ind w:right="0" w:rightChars="0"/>
        <w:jc w:val="both"/>
        <w:textAlignment w:val="auto"/>
        <w:outlineLvl w:val="9"/>
        <w:rPr>
          <w:rFonts w:hint="eastAsia" w:ascii="黑体" w:hAnsi="黑体" w:eastAsia="黑体"/>
          <w:sz w:val="32"/>
          <w:szCs w:val="32"/>
          <w:lang w:val="en-US" w:eastAsia="zh-CN"/>
        </w:rPr>
      </w:pPr>
      <w:r>
        <w:rPr>
          <w:rFonts w:hint="eastAsia" w:ascii="黑体" w:hAnsi="黑体" w:eastAsia="黑体"/>
          <w:sz w:val="32"/>
          <w:szCs w:val="32"/>
        </w:rPr>
        <w:t xml:space="preserve">第三部分   </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年部门预算情</w:t>
      </w:r>
      <w:r>
        <w:rPr>
          <w:rFonts w:hint="eastAsia" w:ascii="黑体" w:hAnsi="黑体" w:eastAsia="黑体"/>
          <w:sz w:val="32"/>
          <w:szCs w:val="32"/>
          <w:lang w:val="en-US" w:eastAsia="zh-CN"/>
        </w:rPr>
        <w:t xml:space="preserve"> </w:t>
      </w:r>
    </w:p>
    <w:p>
      <w:pPr>
        <w:keepNext w:val="0"/>
        <w:keepLines w:val="0"/>
        <w:pageBreakBefore w:val="0"/>
        <w:kinsoku/>
        <w:wordWrap/>
        <w:overflowPunct/>
        <w:topLinePunct w:val="0"/>
        <w:bidi w:val="0"/>
        <w:snapToGrid/>
        <w:spacing w:beforeAutospacing="0" w:afterAutospacing="0" w:line="560" w:lineRule="exact"/>
        <w:ind w:right="0" w:rightChars="0"/>
        <w:jc w:val="both"/>
        <w:textAlignment w:val="auto"/>
        <w:outlineLvl w:val="9"/>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况说明</w:t>
      </w:r>
    </w:p>
    <w:p>
      <w:pPr>
        <w:keepNext w:val="0"/>
        <w:keepLines w:val="0"/>
        <w:pageBreakBefore w:val="0"/>
        <w:kinsoku/>
        <w:wordWrap/>
        <w:overflowPunct/>
        <w:topLinePunct w:val="0"/>
        <w:bidi w:val="0"/>
        <w:snapToGrid/>
        <w:spacing w:beforeAutospacing="0" w:afterAutospacing="0" w:line="560" w:lineRule="exact"/>
        <w:ind w:right="0" w:rightChars="0"/>
        <w:jc w:val="center"/>
        <w:textAlignment w:val="auto"/>
        <w:outlineLvl w:val="9"/>
        <w:rPr>
          <w:rFonts w:ascii="黑体" w:hAnsi="黑体" w:eastAsia="黑体"/>
          <w:sz w:val="32"/>
          <w:szCs w:val="32"/>
        </w:rPr>
      </w:pP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年财政拨款收支预算情况的总体说明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黑体" w:eastAsia="仿宋_GB2312"/>
          <w:sz w:val="32"/>
          <w:szCs w:val="32"/>
        </w:rPr>
      </w:pPr>
      <w:r>
        <w:rPr>
          <w:rFonts w:hint="eastAsia" w:ascii="仿宋_GB2312" w:hAnsi="仿宋_GB2312" w:eastAsia="仿宋_GB2312" w:cs="仿宋_GB2312"/>
          <w:sz w:val="32"/>
          <w:szCs w:val="32"/>
          <w:lang w:eastAsia="zh-CN"/>
        </w:rPr>
        <w:t>中共三亚市崖州区委宣传部</w:t>
      </w:r>
      <w:r>
        <w:rPr>
          <w:rFonts w:hint="eastAsia" w:ascii="仿宋_GB2312" w:hAnsi="仿宋_GB2312" w:eastAsia="仿宋_GB2312" w:cs="仿宋_GB2312"/>
          <w:sz w:val="32"/>
          <w:szCs w:val="32"/>
          <w:lang w:val="en-US" w:eastAsia="zh-CN"/>
        </w:rPr>
        <w:t>2018</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671.31</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671.31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671.31</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671.31</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643.26</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9.32万元、医疗卫生与计划生育支出7.23万元、农林水支出6万元、住房保障支出5.5万元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keepNext w:val="0"/>
        <w:keepLines w:val="0"/>
        <w:pageBreakBefore w:val="0"/>
        <w:kinsoku/>
        <w:wordWrap/>
        <w:overflowPunct/>
        <w:topLinePunct w:val="0"/>
        <w:bidi w:val="0"/>
        <w:snapToGrid/>
        <w:spacing w:beforeAutospacing="0" w:afterAutospacing="0" w:line="560" w:lineRule="exact"/>
        <w:ind w:right="0" w:rightChars="0" w:firstLine="640"/>
        <w:jc w:val="left"/>
        <w:textAlignment w:val="auto"/>
        <w:outlineLvl w:val="9"/>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年一般公共预算当年拨款情况说明</w:t>
      </w:r>
    </w:p>
    <w:p>
      <w:pPr>
        <w:keepNext w:val="0"/>
        <w:keepLines w:val="0"/>
        <w:pageBreakBefore w:val="0"/>
        <w:kinsoku/>
        <w:wordWrap/>
        <w:overflowPunct/>
        <w:topLinePunct w:val="0"/>
        <w:bidi w:val="0"/>
        <w:snapToGrid/>
        <w:spacing w:beforeAutospacing="0" w:afterAutospacing="0" w:line="560" w:lineRule="exact"/>
        <w:ind w:right="0" w:rightChars="0" w:firstLine="64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（一）一般公共预算当年规模变化情况</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lang w:eastAsia="zh-CN"/>
        </w:rPr>
        <w:t>中共三亚市崖州区委宣传部</w:t>
      </w:r>
      <w:r>
        <w:rPr>
          <w:rFonts w:hint="eastAsia" w:ascii="仿宋_GB2312" w:hAnsi="黑体" w:eastAsia="仿宋_GB2312"/>
          <w:sz w:val="32"/>
          <w:szCs w:val="32"/>
          <w:lang w:val="en-US" w:eastAsia="zh-CN"/>
        </w:rPr>
        <w:t>2018</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671.31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480.65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原因是今年部门有大量创文工作即将开展，预算经费安排相应增加。</w:t>
      </w:r>
    </w:p>
    <w:p>
      <w:pPr>
        <w:keepNext w:val="0"/>
        <w:keepLines w:val="0"/>
        <w:pageBreakBefore w:val="0"/>
        <w:kinsoku/>
        <w:wordWrap/>
        <w:overflowPunct/>
        <w:topLinePunct w:val="0"/>
        <w:bidi w:val="0"/>
        <w:snapToGrid/>
        <w:spacing w:beforeAutospacing="0" w:afterAutospacing="0" w:line="560" w:lineRule="exact"/>
        <w:ind w:right="0" w:rightChars="0" w:firstLine="64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（二）一般公共预算当年拨款结构情况</w:t>
      </w:r>
    </w:p>
    <w:p>
      <w:pPr>
        <w:keepNext w:val="0"/>
        <w:keepLines w:val="0"/>
        <w:pageBreakBefore w:val="0"/>
        <w:kinsoku/>
        <w:wordWrap/>
        <w:overflowPunct/>
        <w:topLinePunct w:val="0"/>
        <w:bidi w:val="0"/>
        <w:snapToGrid/>
        <w:spacing w:beforeAutospacing="0" w:afterAutospacing="0" w:line="560" w:lineRule="exact"/>
        <w:ind w:right="0" w:rightChars="0" w:firstLine="800" w:firstLineChars="250"/>
        <w:textAlignment w:val="auto"/>
        <w:outlineLvl w:val="9"/>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643.26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95.82</w:t>
      </w:r>
      <w:r>
        <w:rPr>
          <w:rFonts w:hint="eastAsia" w:ascii="仿宋_GB2312" w:hAnsi="黑体" w:eastAsia="仿宋_GB2312"/>
          <w:sz w:val="32"/>
          <w:szCs w:val="32"/>
        </w:rPr>
        <w:t>%；社会保障和就业（类）支出</w:t>
      </w:r>
      <w:r>
        <w:rPr>
          <w:rFonts w:hint="eastAsia" w:ascii="仿宋_GB2312" w:hAnsi="黑体" w:eastAsia="仿宋_GB2312"/>
          <w:sz w:val="32"/>
          <w:szCs w:val="32"/>
          <w:lang w:val="en-US" w:eastAsia="zh-CN"/>
        </w:rPr>
        <w:t>9.32万元，占1.39</w:t>
      </w:r>
      <w:r>
        <w:rPr>
          <w:rFonts w:hint="eastAsia" w:ascii="仿宋_GB2312" w:hAnsi="黑体" w:eastAsia="仿宋_GB2312"/>
          <w:sz w:val="32"/>
          <w:szCs w:val="32"/>
        </w:rPr>
        <w:t>%</w:t>
      </w:r>
      <w:r>
        <w:rPr>
          <w:rFonts w:hint="eastAsia" w:ascii="仿宋_GB2312" w:hAnsi="黑体" w:eastAsia="仿宋_GB2312"/>
          <w:sz w:val="32"/>
          <w:szCs w:val="32"/>
          <w:lang w:eastAsia="zh-CN"/>
        </w:rPr>
        <w:t>；医疗卫生与计划生育</w:t>
      </w:r>
      <w:r>
        <w:rPr>
          <w:rFonts w:hint="eastAsia" w:ascii="仿宋_GB2312" w:hAnsi="黑体" w:eastAsia="仿宋_GB2312"/>
          <w:sz w:val="32"/>
          <w:szCs w:val="32"/>
        </w:rPr>
        <w:t>（类）</w:t>
      </w:r>
      <w:r>
        <w:rPr>
          <w:rFonts w:hint="eastAsia" w:ascii="仿宋_GB2312" w:hAnsi="黑体" w:eastAsia="仿宋_GB2312"/>
          <w:sz w:val="32"/>
          <w:szCs w:val="32"/>
          <w:lang w:eastAsia="zh-CN"/>
        </w:rPr>
        <w:t>支出</w:t>
      </w:r>
      <w:r>
        <w:rPr>
          <w:rFonts w:hint="eastAsia" w:ascii="仿宋_GB2312" w:hAnsi="黑体" w:eastAsia="仿宋_GB2312"/>
          <w:sz w:val="32"/>
          <w:szCs w:val="32"/>
          <w:lang w:val="en-US" w:eastAsia="zh-CN"/>
        </w:rPr>
        <w:t>7.23万元，占1.08%；农林水（类）支出6万元，占0.89%；住房保障（类）支出5.5万元，占0.82%。</w:t>
      </w:r>
    </w:p>
    <w:p>
      <w:pPr>
        <w:keepNext w:val="0"/>
        <w:keepLines w:val="0"/>
        <w:pageBreakBefore w:val="0"/>
        <w:kinsoku/>
        <w:wordWrap/>
        <w:overflowPunct/>
        <w:topLinePunct w:val="0"/>
        <w:bidi w:val="0"/>
        <w:snapToGrid/>
        <w:spacing w:beforeAutospacing="0" w:afterAutospacing="0" w:line="560" w:lineRule="exact"/>
        <w:ind w:right="0" w:rightChars="0" w:firstLine="64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（三）一般公共预算当年拨款具体使用情况</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cs="仿宋_GB2312"/>
          <w:sz w:val="32"/>
          <w:szCs w:val="32"/>
        </w:rPr>
        <w:t>1.一般公共服务（类）</w:t>
      </w:r>
      <w:r>
        <w:rPr>
          <w:rFonts w:hint="eastAsia" w:ascii="仿宋_GB2312" w:hAnsi="黑体" w:eastAsia="仿宋_GB2312" w:cs="仿宋_GB2312"/>
          <w:sz w:val="32"/>
          <w:szCs w:val="32"/>
          <w:lang w:eastAsia="zh-CN"/>
        </w:rPr>
        <w:t>宣传事务（款）</w:t>
      </w:r>
      <w:r>
        <w:rPr>
          <w:rFonts w:hint="eastAsia" w:ascii="仿宋_GB2312" w:hAnsi="黑体" w:eastAsia="仿宋_GB2312" w:cs="仿宋_GB2312"/>
          <w:sz w:val="32"/>
          <w:szCs w:val="32"/>
        </w:rPr>
        <w:t>行政运行（项）</w:t>
      </w:r>
      <w:r>
        <w:rPr>
          <w:rFonts w:hint="eastAsia" w:ascii="仿宋_GB2312" w:hAnsi="黑体" w:eastAsia="仿宋_GB2312" w:cs="仿宋_GB2312"/>
          <w:sz w:val="32"/>
          <w:szCs w:val="32"/>
          <w:lang w:val="en-US" w:eastAsia="zh-CN"/>
        </w:rPr>
        <w:t>2018</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50.26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5.55</w:t>
      </w:r>
      <w:r>
        <w:rPr>
          <w:rFonts w:hint="eastAsia" w:ascii="仿宋_GB2312" w:hAnsi="黑体" w:eastAsia="仿宋_GB2312"/>
          <w:sz w:val="32"/>
          <w:szCs w:val="32"/>
        </w:rPr>
        <w:t>万元，主要</w:t>
      </w:r>
      <w:r>
        <w:rPr>
          <w:rFonts w:hint="eastAsia" w:ascii="仿宋_GB2312" w:hAnsi="黑体" w:eastAsia="仿宋_GB2312"/>
          <w:sz w:val="32"/>
          <w:szCs w:val="32"/>
          <w:lang w:eastAsia="zh-CN"/>
        </w:rPr>
        <w:t>因为部门调出</w:t>
      </w:r>
      <w:r>
        <w:rPr>
          <w:rFonts w:hint="eastAsia" w:ascii="仿宋_GB2312" w:hAnsi="黑体" w:eastAsia="仿宋_GB2312"/>
          <w:sz w:val="32"/>
          <w:szCs w:val="32"/>
          <w:lang w:val="en-US" w:eastAsia="zh-CN"/>
        </w:rPr>
        <w:t>1名公务员，减人减资。</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一般公共服务（类）</w:t>
      </w:r>
      <w:r>
        <w:rPr>
          <w:rFonts w:hint="eastAsia" w:ascii="仿宋_GB2312" w:hAnsi="黑体" w:eastAsia="仿宋_GB2312" w:cs="仿宋_GB2312"/>
          <w:sz w:val="32"/>
          <w:szCs w:val="32"/>
          <w:lang w:eastAsia="zh-CN"/>
        </w:rPr>
        <w:t>宣传事务（款）</w:t>
      </w:r>
      <w:r>
        <w:rPr>
          <w:rFonts w:hint="eastAsia" w:ascii="仿宋_GB2312" w:hAnsi="黑体" w:eastAsia="仿宋_GB2312" w:cs="仿宋_GB2312"/>
          <w:sz w:val="32"/>
          <w:szCs w:val="32"/>
        </w:rPr>
        <w:t>一般行政管理事务（项）</w:t>
      </w:r>
      <w:r>
        <w:rPr>
          <w:rFonts w:hint="eastAsia" w:ascii="仿宋_GB2312" w:hAnsi="黑体" w:eastAsia="仿宋_GB2312" w:cs="仿宋_GB2312"/>
          <w:sz w:val="32"/>
          <w:szCs w:val="32"/>
          <w:lang w:val="en-US" w:eastAsia="zh-CN"/>
        </w:rPr>
        <w:t>2018</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160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48</w:t>
      </w:r>
      <w:r>
        <w:rPr>
          <w:rFonts w:hint="eastAsia" w:ascii="仿宋_GB2312" w:hAnsi="黑体" w:eastAsia="仿宋_GB2312"/>
          <w:sz w:val="32"/>
          <w:szCs w:val="32"/>
        </w:rPr>
        <w:t>万元，主要</w:t>
      </w:r>
      <w:r>
        <w:rPr>
          <w:rFonts w:hint="eastAsia" w:ascii="仿宋_GB2312" w:hAnsi="黑体" w:eastAsia="仿宋_GB2312"/>
          <w:sz w:val="32"/>
          <w:szCs w:val="32"/>
          <w:lang w:eastAsia="zh-CN"/>
        </w:rPr>
        <w:t>是今年增加创文工作项目经费支出。</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rPr>
        <w:t>一般公共服务（类）</w:t>
      </w:r>
      <w:r>
        <w:rPr>
          <w:rFonts w:hint="eastAsia" w:ascii="仿宋_GB2312" w:hAnsi="黑体" w:eastAsia="仿宋_GB2312" w:cs="仿宋_GB2312"/>
          <w:sz w:val="32"/>
          <w:szCs w:val="32"/>
          <w:lang w:eastAsia="zh-CN"/>
        </w:rPr>
        <w:t>宣传事务（款）</w:t>
      </w:r>
      <w:r>
        <w:rPr>
          <w:rFonts w:hint="eastAsia" w:ascii="仿宋_GB2312" w:hAnsi="黑体" w:eastAsia="仿宋_GB2312"/>
          <w:sz w:val="32"/>
          <w:szCs w:val="32"/>
          <w:lang w:val="en-US" w:eastAsia="zh-CN"/>
        </w:rPr>
        <w:t>其他宣传事务支出（项）</w:t>
      </w:r>
      <w:r>
        <w:rPr>
          <w:rFonts w:hint="eastAsia" w:ascii="仿宋_GB2312" w:hAnsi="黑体" w:eastAsia="仿宋_GB2312" w:cs="仿宋_GB2312"/>
          <w:sz w:val="32"/>
          <w:szCs w:val="32"/>
          <w:lang w:val="en-US" w:eastAsia="zh-CN"/>
        </w:rPr>
        <w:t>2018</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433</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433万元，主要是</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01</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年安排了</w:t>
      </w:r>
      <w:r>
        <w:rPr>
          <w:rFonts w:hint="eastAsia" w:ascii="仿宋_GB2312" w:hAnsi="黑体" w:eastAsia="仿宋_GB2312"/>
          <w:sz w:val="32"/>
          <w:szCs w:val="32"/>
          <w:lang w:val="en-US" w:eastAsia="zh-CN"/>
        </w:rPr>
        <w:t>创文工作</w:t>
      </w:r>
      <w:r>
        <w:rPr>
          <w:rFonts w:hint="eastAsia" w:ascii="仿宋_GB2312" w:eastAsia="仿宋_GB2312"/>
          <w:color w:val="auto"/>
          <w:sz w:val="32"/>
          <w:szCs w:val="32"/>
        </w:rPr>
        <w:t>经费</w:t>
      </w:r>
      <w:r>
        <w:rPr>
          <w:rFonts w:hint="eastAsia" w:ascii="仿宋_GB2312" w:eastAsia="仿宋_GB2312"/>
          <w:color w:val="auto"/>
          <w:sz w:val="32"/>
          <w:szCs w:val="32"/>
          <w:lang w:eastAsia="zh-CN"/>
        </w:rPr>
        <w:t>及元宵晚会活动经费</w:t>
      </w:r>
      <w:r>
        <w:rPr>
          <w:rFonts w:hint="eastAsia" w:ascii="仿宋_GB2312" w:eastAsia="仿宋_GB2312"/>
          <w:color w:val="auto"/>
          <w:sz w:val="32"/>
          <w:szCs w:val="32"/>
          <w:lang w:bidi="ar"/>
        </w:rPr>
        <w:t>等支出增加</w:t>
      </w:r>
      <w:r>
        <w:rPr>
          <w:rFonts w:hint="eastAsia" w:ascii="仿宋_GB2312" w:eastAsia="仿宋_GB2312"/>
          <w:color w:val="auto"/>
          <w:sz w:val="32"/>
          <w:szCs w:val="32"/>
          <w:lang w:eastAsia="zh-CN" w:bidi="ar"/>
        </w:rPr>
        <w:t>。</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4.社会保障和就业（类）行政事业单位离退休（款）机关事业单位基本养老保险缴费支出（项）2018年预算数为8万元，比上年预算数减少1万元，主要是部门调出1名公务员，</w:t>
      </w:r>
      <w:r>
        <w:rPr>
          <w:rFonts w:hint="eastAsia" w:ascii="仿宋_GB2312" w:hAnsi="黑体" w:eastAsia="仿宋_GB2312"/>
          <w:sz w:val="32"/>
          <w:szCs w:val="32"/>
          <w:lang w:val="en-US" w:eastAsia="zh-CN"/>
        </w:rPr>
        <w:t>减人减资</w:t>
      </w:r>
      <w:r>
        <w:rPr>
          <w:rFonts w:hint="eastAsia" w:ascii="仿宋_GB2312" w:hAnsi="黑体" w:eastAsia="仿宋_GB2312"/>
          <w:sz w:val="32"/>
          <w:szCs w:val="32"/>
          <w:lang w:val="en-US" w:eastAsia="zh-CN"/>
        </w:rPr>
        <w:t>。</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5.社会保障和就业（类）抚恤（款）其他优抚支出（项）2018年预算数为1.32万元，</w:t>
      </w:r>
      <w:r>
        <w:rPr>
          <w:rFonts w:hint="eastAsia" w:ascii="仿宋_GB2312" w:hAnsi="黑体" w:eastAsia="仿宋_GB2312"/>
          <w:sz w:val="32"/>
          <w:szCs w:val="32"/>
          <w:lang w:eastAsia="zh-CN"/>
        </w:rPr>
        <w:t>比上年预算数持平，主要是相关业务内容没有变化。</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6.医疗卫生与计划生育（类）行政事业单位医疗（款）行政单位医疗（项）2018年预算数为1.73万元，比上年预算数减少0.03万元，基本无变化。</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7.医疗卫生与计划生育（类）行政事业单位医疗（款）公务员医疗补助（项）2018年预算数为5.5万元，比</w:t>
      </w:r>
      <w:r>
        <w:rPr>
          <w:rFonts w:hint="eastAsia" w:ascii="仿宋_GB2312" w:hAnsi="黑体" w:eastAsia="仿宋_GB2312"/>
          <w:sz w:val="32"/>
          <w:szCs w:val="32"/>
          <w:lang w:eastAsia="zh-CN"/>
        </w:rPr>
        <w:t>上年预算数增加</w:t>
      </w:r>
      <w:r>
        <w:rPr>
          <w:rFonts w:hint="eastAsia" w:ascii="仿宋_GB2312" w:hAnsi="黑体" w:eastAsia="仿宋_GB2312"/>
          <w:sz w:val="32"/>
          <w:szCs w:val="32"/>
          <w:lang w:val="en-US" w:eastAsia="zh-CN"/>
        </w:rPr>
        <w:t>0.1万元，基本无变化。</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8.农林水（类）扶贫（款）一般行政管理事务（项）2018年预算数为6万元，</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6万元，主要是扶贫工作需要。</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9.住房保障支出（类）住房改革支出（款）住房公积金（项）2018年预算数为5.5万元，</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0.13万元，基本无变化。</w:t>
      </w:r>
    </w:p>
    <w:p>
      <w:pPr>
        <w:keepNext w:val="0"/>
        <w:keepLines w:val="0"/>
        <w:pageBreakBefore w:val="0"/>
        <w:kinsoku/>
        <w:wordWrap/>
        <w:overflowPunct/>
        <w:topLinePunct w:val="0"/>
        <w:bidi w:val="0"/>
        <w:snapToGrid/>
        <w:spacing w:beforeAutospacing="0" w:afterAutospacing="0" w:line="560" w:lineRule="exact"/>
        <w:ind w:right="0" w:rightChars="0" w:firstLine="640"/>
        <w:textAlignment w:val="auto"/>
        <w:outlineLvl w:val="9"/>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年一般公共预算基本支出情况说明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中共三亚市崖州区委宣传部2018年一般公共预算基本支出为</w:t>
      </w:r>
      <w:r>
        <w:rPr>
          <w:rFonts w:hint="eastAsia" w:ascii="仿宋_GB2312" w:hAnsi="黑体" w:eastAsia="仿宋_GB2312" w:cs="仿宋_GB2312"/>
          <w:sz w:val="32"/>
          <w:szCs w:val="32"/>
          <w:lang w:val="en-US" w:eastAsia="zh-CN"/>
        </w:rPr>
        <w:t>72.31</w:t>
      </w:r>
      <w:r>
        <w:rPr>
          <w:rFonts w:hint="eastAsia" w:ascii="仿宋_GB2312" w:hAnsi="黑体" w:eastAsia="仿宋_GB2312"/>
          <w:sz w:val="32"/>
          <w:szCs w:val="32"/>
        </w:rPr>
        <w:t>万元，其中：</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63.37</w:t>
      </w:r>
      <w:r>
        <w:rPr>
          <w:rFonts w:hint="eastAsia" w:ascii="仿宋_GB2312" w:hAnsi="黑体" w:eastAsia="仿宋_GB2312"/>
          <w:sz w:val="32"/>
          <w:szCs w:val="32"/>
        </w:rPr>
        <w:t>万元，主要包括：基本工资、津贴补贴、奖金、机关事业单位基本养老保险缴费、城镇职工基本医疗保险缴费</w:t>
      </w:r>
      <w:r>
        <w:rPr>
          <w:rFonts w:hint="eastAsia" w:ascii="仿宋_GB2312" w:hAnsi="黑体" w:eastAsia="仿宋_GB2312"/>
          <w:sz w:val="32"/>
          <w:szCs w:val="32"/>
          <w:lang w:eastAsia="zh-CN"/>
        </w:rPr>
        <w:t>、公务员医疗补助缴费、其他社会保障缴费、住房公积金、其他工资福利支出、生活补助、奖励金</w:t>
      </w:r>
      <w:r>
        <w:rPr>
          <w:rFonts w:hint="eastAsia" w:ascii="仿宋_GB2312" w:hAnsi="黑体" w:eastAsia="仿宋_GB2312"/>
          <w:sz w:val="32"/>
          <w:szCs w:val="32"/>
        </w:rPr>
        <w:t>;</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8.94</w:t>
      </w:r>
      <w:r>
        <w:rPr>
          <w:rFonts w:hint="eastAsia" w:ascii="仿宋_GB2312" w:hAnsi="黑体" w:eastAsia="仿宋_GB2312"/>
          <w:sz w:val="32"/>
          <w:szCs w:val="32"/>
        </w:rPr>
        <w:t>万元，主要包括：办公费、邮电费、培训费、工会经费、福利费、公务用车运行维护费</w:t>
      </w:r>
      <w:r>
        <w:rPr>
          <w:rFonts w:hint="eastAsia" w:ascii="仿宋_GB2312" w:hAnsi="黑体" w:eastAsia="仿宋_GB2312"/>
          <w:sz w:val="32"/>
          <w:szCs w:val="32"/>
          <w:lang w:eastAsia="zh-CN"/>
        </w:rPr>
        <w:t>、其他交通费用、其他商品和服务支出。</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sz w:val="32"/>
          <w:szCs w:val="32"/>
        </w:rPr>
        <w:t>中共三亚市崖州区委宣传部2018年“三公”经费预算数为</w:t>
      </w:r>
      <w:r>
        <w:rPr>
          <w:rFonts w:hint="eastAsia" w:ascii="仿宋_GB2312" w:hAnsi="黑体" w:eastAsia="仿宋_GB2312"/>
          <w:sz w:val="32"/>
          <w:szCs w:val="32"/>
          <w:lang w:val="en-US" w:eastAsia="zh-CN"/>
        </w:rPr>
        <w:t>1.87</w:t>
      </w:r>
      <w:r>
        <w:rPr>
          <w:rFonts w:hint="eastAsia" w:ascii="仿宋_GB2312" w:hAnsi="黑体" w:eastAsia="仿宋_GB2312"/>
          <w:sz w:val="32"/>
          <w:szCs w:val="32"/>
        </w:rPr>
        <w:t>万元，其中：</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hint="eastAsia" w:ascii="仿宋_GB2312" w:hAnsi="黑体" w:eastAsia="仿宋_GB2312"/>
          <w:sz w:val="32"/>
          <w:szCs w:val="32"/>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hint="eastAsia" w:ascii="仿宋_GB2312" w:eastAsia="仿宋_GB2312"/>
          <w:color w:val="FF0000"/>
          <w:kern w:val="0"/>
          <w:sz w:val="32"/>
          <w:szCs w:val="32"/>
          <w:lang w:val="en-US" w:eastAsia="zh-CN"/>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1.87</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1.87</w:t>
      </w:r>
      <w:r>
        <w:rPr>
          <w:rFonts w:hint="eastAsia" w:ascii="仿宋_GB2312" w:hAnsi="黑体" w:eastAsia="仿宋_GB2312"/>
          <w:sz w:val="32"/>
          <w:szCs w:val="32"/>
        </w:rPr>
        <w:t>万</w:t>
      </w:r>
      <w:r>
        <w:rPr>
          <w:rFonts w:hint="eastAsia" w:ascii="仿宋_GB2312" w:hAnsi="黑体" w:eastAsia="仿宋_GB2312"/>
          <w:color w:val="auto"/>
          <w:sz w:val="32"/>
          <w:szCs w:val="32"/>
        </w:rPr>
        <w:t>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年预算较</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年预算增长</w:t>
      </w:r>
      <w:r>
        <w:rPr>
          <w:rFonts w:hint="eastAsia" w:ascii="仿宋_GB2312" w:hAnsi="黑体" w:eastAsia="仿宋_GB2312" w:cs="仿宋_GB2312"/>
          <w:color w:val="auto"/>
          <w:sz w:val="32"/>
          <w:szCs w:val="32"/>
          <w:lang w:val="en-US" w:eastAsia="zh-CN"/>
        </w:rPr>
        <w:t>100</w:t>
      </w:r>
      <w:r>
        <w:rPr>
          <w:rFonts w:ascii="Times New Roman" w:hAnsi="Times New Roman" w:eastAsia="仿宋_GB2312" w:cs="Times New Roman"/>
          <w:color w:val="auto"/>
          <w:sz w:val="32"/>
          <w:shd w:val="clear" w:color="auto" w:fill="FFFFFF"/>
        </w:rPr>
        <w:t>%。</w:t>
      </w:r>
      <w:r>
        <w:rPr>
          <w:rFonts w:ascii="Times New Roman" w:hAnsi="Times New Roman" w:eastAsia="仿宋_GB2312" w:cs="Times New Roman"/>
          <w:color w:val="auto"/>
          <w:sz w:val="32"/>
        </w:rPr>
        <w:t>增长的</w:t>
      </w:r>
      <w:r>
        <w:rPr>
          <w:rFonts w:ascii="Times New Roman" w:hAnsi="Times New Roman" w:eastAsia="仿宋_GB2312" w:cs="Times New Roman"/>
          <w:color w:val="auto"/>
          <w:sz w:val="32"/>
          <w:shd w:val="clear" w:color="auto" w:fill="FFFFFF"/>
        </w:rPr>
        <w:t>主要原因：</w:t>
      </w:r>
      <w:r>
        <w:rPr>
          <w:rFonts w:hint="eastAsia" w:ascii="Times New Roman" w:hAnsi="Times New Roman" w:eastAsia="仿宋_GB2312" w:cs="Times New Roman"/>
          <w:color w:val="auto"/>
          <w:sz w:val="32"/>
          <w:shd w:val="clear" w:color="auto" w:fill="FFFFFF"/>
          <w:lang w:val="en-US" w:eastAsia="zh-CN"/>
        </w:rPr>
        <w:t>2017年我市公务用车制度改革后，我部接收</w:t>
      </w:r>
      <w:r>
        <w:rPr>
          <w:rFonts w:hint="eastAsia" w:ascii="仿宋_GB2312" w:eastAsia="仿宋_GB2312"/>
          <w:color w:val="auto"/>
          <w:kern w:val="0"/>
          <w:sz w:val="32"/>
          <w:szCs w:val="32"/>
          <w:lang w:eastAsia="zh-CN"/>
        </w:rPr>
        <w:t>市级单位移交通信应急公务用车</w:t>
      </w:r>
      <w:r>
        <w:rPr>
          <w:rFonts w:hint="eastAsia" w:ascii="仿宋_GB2312" w:eastAsia="仿宋_GB2312"/>
          <w:color w:val="auto"/>
          <w:kern w:val="0"/>
          <w:sz w:val="32"/>
          <w:szCs w:val="32"/>
          <w:lang w:val="en-US" w:eastAsia="zh-CN"/>
        </w:rPr>
        <w:t>1辆，导致公务用车运行费增长100%。</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Times New Roman" w:hAnsi="Times New Roman" w:eastAsia="仿宋_GB2312" w:cs="Times New Roman"/>
          <w:sz w:val="32"/>
          <w:shd w:val="clear" w:color="auto" w:fill="FFFFFF"/>
          <w:lang w:eastAsia="zh-CN"/>
        </w:rPr>
      </w:pP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黑体" w:eastAsia="仿宋_GB2312" w:cs="仿宋_GB2312"/>
          <w:sz w:val="32"/>
          <w:szCs w:val="32"/>
        </w:rPr>
        <w:t>中共三亚市崖州区委宣传部</w:t>
      </w:r>
      <w:r>
        <w:rPr>
          <w:rFonts w:hint="eastAsia" w:ascii="仿宋_GB2312" w:hAnsi="黑体" w:eastAsia="仿宋_GB2312"/>
          <w:sz w:val="32"/>
          <w:szCs w:val="32"/>
          <w:lang w:val="en-US" w:eastAsia="zh-CN"/>
        </w:rPr>
        <w:t>2018</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r>
        <w:rPr>
          <w:rFonts w:hint="eastAsia" w:ascii="仿宋_GB2312" w:hAnsi="黑体" w:eastAsia="仿宋_GB2312"/>
          <w:sz w:val="32"/>
          <w:szCs w:val="32"/>
        </w:rPr>
        <w:t>主要是我</w:t>
      </w:r>
      <w:r>
        <w:rPr>
          <w:rFonts w:hint="eastAsia" w:ascii="仿宋_GB2312" w:hAnsi="黑体" w:eastAsia="仿宋_GB2312"/>
          <w:sz w:val="32"/>
          <w:szCs w:val="32"/>
          <w:lang w:eastAsia="zh-CN"/>
        </w:rPr>
        <w:t>部</w:t>
      </w:r>
      <w:r>
        <w:rPr>
          <w:rFonts w:hint="eastAsia" w:ascii="仿宋_GB2312" w:hAnsi="黑体" w:eastAsia="仿宋_GB2312"/>
          <w:sz w:val="32"/>
          <w:szCs w:val="32"/>
        </w:rPr>
        <w:t>没有政府性基金预算收入，</w:t>
      </w:r>
      <w:r>
        <w:rPr>
          <w:rFonts w:hint="eastAsia" w:ascii="仿宋_GB2312" w:hAnsi="仿宋_GB2312" w:eastAsia="仿宋_GB2312" w:cs="仿宋_GB2312"/>
          <w:sz w:val="32"/>
          <w:szCs w:val="32"/>
          <w:lang w:val="en-US" w:eastAsia="zh-CN"/>
        </w:rPr>
        <w:t>无此项预算安排。</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cs="仿宋_GB2312"/>
          <w:sz w:val="32"/>
          <w:szCs w:val="32"/>
        </w:rPr>
        <w:t>按照综合预算原则，中共三亚市崖州区委宣传部所有收入和支出均纳入部门预算管理。收入</w:t>
      </w:r>
      <w:r>
        <w:rPr>
          <w:rFonts w:hint="eastAsia" w:ascii="仿宋_GB2312" w:hAnsi="黑体" w:eastAsia="仿宋_GB2312" w:cs="仿宋_GB2312"/>
          <w:sz w:val="32"/>
          <w:szCs w:val="32"/>
          <w:lang w:eastAsia="zh-CN"/>
        </w:rPr>
        <w:t>均为</w:t>
      </w:r>
      <w:r>
        <w:rPr>
          <w:rFonts w:hint="eastAsia" w:ascii="仿宋_GB2312" w:hAnsi="黑体" w:eastAsia="仿宋_GB2312" w:cs="仿宋_GB2312"/>
          <w:sz w:val="32"/>
          <w:szCs w:val="32"/>
        </w:rPr>
        <w:t>：一般公共预算收入</w:t>
      </w:r>
      <w:r>
        <w:rPr>
          <w:rFonts w:hint="eastAsia" w:ascii="仿宋_GB2312" w:hAnsi="黑体" w:eastAsia="仿宋_GB2312"/>
          <w:sz w:val="32"/>
          <w:szCs w:val="32"/>
        </w:rPr>
        <w:t>；支出包括：一般公共服务支出、社会保障和就业支出、医疗卫生与计划生育支出、农林水支出、住房保障支出</w:t>
      </w:r>
      <w:r>
        <w:rPr>
          <w:rFonts w:hint="eastAsia" w:ascii="仿宋_GB2312" w:hAnsi="黑体" w:eastAsia="仿宋_GB2312"/>
          <w:sz w:val="32"/>
          <w:szCs w:val="32"/>
          <w:lang w:eastAsia="zh-CN"/>
        </w:rPr>
        <w:t>。中共三亚市崖州区委宣传部2018年</w:t>
      </w:r>
      <w:r>
        <w:rPr>
          <w:rFonts w:hint="eastAsia" w:ascii="仿宋_GB2312" w:hAnsi="黑体" w:eastAsia="仿宋_GB2312"/>
          <w:sz w:val="32"/>
          <w:szCs w:val="32"/>
        </w:rPr>
        <w:t>收支总预算</w:t>
      </w:r>
      <w:r>
        <w:rPr>
          <w:rFonts w:hint="eastAsia" w:ascii="仿宋_GB2312" w:hAnsi="黑体" w:eastAsia="仿宋_GB2312" w:cs="仿宋_GB2312"/>
          <w:sz w:val="32"/>
          <w:szCs w:val="32"/>
          <w:lang w:val="en-US" w:eastAsia="zh-CN"/>
        </w:rPr>
        <w:t>671.31</w:t>
      </w:r>
      <w:r>
        <w:rPr>
          <w:rFonts w:hint="eastAsia" w:ascii="仿宋_GB2312" w:hAnsi="黑体" w:eastAsia="仿宋_GB2312"/>
          <w:sz w:val="32"/>
          <w:szCs w:val="32"/>
        </w:rPr>
        <w:t>万元。</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中共三亚市崖州区委宣传部2018年收入预算</w:t>
      </w:r>
      <w:r>
        <w:rPr>
          <w:rFonts w:hint="eastAsia" w:ascii="仿宋_GB2312" w:hAnsi="黑体" w:eastAsia="仿宋_GB2312" w:cs="仿宋_GB2312"/>
          <w:sz w:val="32"/>
          <w:szCs w:val="32"/>
          <w:lang w:val="en-US" w:eastAsia="zh-CN"/>
        </w:rPr>
        <w:t>671.31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sz w:val="32"/>
          <w:szCs w:val="32"/>
          <w:lang w:val="en-US" w:eastAsia="zh-CN"/>
        </w:rPr>
        <w:t>671.31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中共三亚市崖州区委宣传部</w:t>
      </w:r>
      <w:r>
        <w:rPr>
          <w:rFonts w:hint="eastAsia" w:ascii="黑体" w:hAnsi="黑体" w:eastAsia="黑体"/>
          <w:sz w:val="32"/>
          <w:szCs w:val="32"/>
          <w:lang w:val="en-US" w:eastAsia="zh-CN"/>
        </w:rPr>
        <w:t>2018</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中共三亚市崖州区委宣传部2018年支出预算</w:t>
      </w:r>
      <w:r>
        <w:rPr>
          <w:rFonts w:hint="eastAsia" w:ascii="仿宋_GB2312" w:hAnsi="黑体" w:eastAsia="仿宋_GB2312" w:cs="仿宋_GB2312"/>
          <w:sz w:val="32"/>
          <w:szCs w:val="32"/>
          <w:lang w:val="en-US" w:eastAsia="zh-CN"/>
        </w:rPr>
        <w:t>671.31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72.31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10.77</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599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89.23</w:t>
      </w:r>
      <w:r>
        <w:rPr>
          <w:rFonts w:hint="eastAsia" w:ascii="仿宋_GB2312" w:hAnsi="黑体" w:eastAsia="仿宋_GB2312"/>
          <w:sz w:val="32"/>
          <w:szCs w:val="32"/>
        </w:rPr>
        <w:t>%。</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楷体" w:hAnsi="楷体" w:eastAsia="楷体"/>
          <w:sz w:val="32"/>
          <w:szCs w:val="32"/>
        </w:rPr>
      </w:pPr>
      <w:r>
        <w:rPr>
          <w:rFonts w:hint="eastAsia" w:ascii="楷体" w:hAnsi="楷体" w:eastAsia="楷体"/>
          <w:sz w:val="32"/>
          <w:szCs w:val="32"/>
        </w:rPr>
        <w:t>（一）机关运行经费</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中共三亚市崖州区委宣传部2018年</w:t>
      </w:r>
      <w:r>
        <w:rPr>
          <w:rFonts w:hint="eastAsia" w:ascii="仿宋_GB2312" w:hAnsi="黑体" w:eastAsia="仿宋_GB2312" w:cs="仿宋_GB2312"/>
          <w:sz w:val="32"/>
          <w:szCs w:val="32"/>
        </w:rPr>
        <w:t>本级的机关运行经费预算</w:t>
      </w:r>
      <w:r>
        <w:rPr>
          <w:rFonts w:hint="eastAsia" w:ascii="仿宋_GB2312" w:hAnsi="黑体" w:eastAsia="仿宋_GB2312" w:cs="仿宋_GB2312"/>
          <w:sz w:val="32"/>
          <w:szCs w:val="32"/>
          <w:lang w:val="en-US" w:eastAsia="zh-CN"/>
        </w:rPr>
        <w:t>8.94</w:t>
      </w:r>
      <w:r>
        <w:rPr>
          <w:rFonts w:hint="eastAsia" w:ascii="仿宋_GB2312" w:hAnsi="黑体" w:eastAsia="仿宋_GB2312"/>
          <w:sz w:val="32"/>
          <w:szCs w:val="32"/>
        </w:rPr>
        <w:t>万元。</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sz w:val="32"/>
          <w:szCs w:val="32"/>
        </w:rPr>
        <w:t>中共三亚市崖州区委宣传部2018年</w:t>
      </w:r>
      <w:r>
        <w:rPr>
          <w:rFonts w:hint="eastAsia" w:ascii="仿宋_GB2312" w:hAnsi="黑体" w:eastAsia="仿宋_GB2312" w:cs="仿宋_GB2312"/>
          <w:sz w:val="32"/>
          <w:szCs w:val="32"/>
        </w:rPr>
        <w:t>本级政府采购预算总额</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rPr>
        <w:t>。</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楷体" w:hAnsi="楷体" w:eastAsia="楷体"/>
          <w:sz w:val="32"/>
          <w:szCs w:val="32"/>
        </w:rPr>
      </w:pPr>
      <w:r>
        <w:rPr>
          <w:rFonts w:hint="eastAsia" w:ascii="楷体" w:hAnsi="楷体" w:eastAsia="楷体"/>
          <w:sz w:val="32"/>
          <w:szCs w:val="32"/>
        </w:rPr>
        <w:t>（三）国有资产占有使用情况</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2017</w:t>
      </w:r>
      <w:r>
        <w:rPr>
          <w:rFonts w:hint="eastAsia" w:ascii="仿宋_GB2312" w:hAnsi="黑体" w:eastAsia="仿宋_GB2312"/>
          <w:sz w:val="32"/>
          <w:szCs w:val="32"/>
        </w:rPr>
        <w:t>年12月31日，中共三亚市崖州区委宣传部</w:t>
      </w:r>
      <w:r>
        <w:rPr>
          <w:rFonts w:hint="eastAsia" w:ascii="仿宋_GB2312" w:hAnsi="黑体" w:eastAsia="仿宋_GB2312" w:cs="仿宋_GB2312"/>
          <w:sz w:val="32"/>
          <w:szCs w:val="32"/>
        </w:rPr>
        <w:t>本级共有车辆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w:t>
      </w:r>
      <w:r>
        <w:rPr>
          <w:rFonts w:hint="eastAsia" w:ascii="仿宋_GB2312" w:hAnsi="黑体" w:eastAsia="仿宋_GB2312" w:cs="仿宋_GB2312"/>
          <w:sz w:val="32"/>
          <w:szCs w:val="32"/>
        </w:rPr>
        <w:t>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仿宋_GB2312" w:hAnsi="黑体" w:eastAsia="仿宋_GB2312" w:cs="仿宋_GB2312"/>
          <w:sz w:val="32"/>
          <w:szCs w:val="32"/>
        </w:rPr>
        <w:t>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仿宋_GB2312" w:hAnsi="黑体" w:eastAsia="仿宋_GB2312" w:cs="仿宋_GB2312"/>
          <w:sz w:val="32"/>
          <w:szCs w:val="32"/>
        </w:rPr>
        <w:t>。单位价值100万元以上设备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楷体" w:hAnsi="楷体" w:eastAsia="楷体"/>
          <w:sz w:val="32"/>
          <w:szCs w:val="32"/>
        </w:rPr>
      </w:pPr>
      <w:r>
        <w:rPr>
          <w:rFonts w:hint="eastAsia" w:ascii="楷体" w:hAnsi="楷体" w:eastAsia="楷体"/>
          <w:sz w:val="32"/>
          <w:szCs w:val="32"/>
        </w:rPr>
        <w:t>（四）绩效目标设置情况</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黑体" w:eastAsia="仿宋_GB2312"/>
          <w:sz w:val="32"/>
          <w:szCs w:val="32"/>
        </w:rPr>
      </w:pPr>
      <w:r>
        <w:rPr>
          <w:rFonts w:hint="eastAsia" w:ascii="仿宋_GB2312" w:hAnsi="黑体" w:eastAsia="仿宋_GB2312"/>
          <w:sz w:val="32"/>
          <w:szCs w:val="32"/>
        </w:rPr>
        <w:t>中共三亚市崖州区委宣传部2018年</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个项目实行绩效目标管理</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涉及一般公共预算</w:t>
      </w:r>
      <w:r>
        <w:rPr>
          <w:rFonts w:hint="eastAsia" w:ascii="仿宋_GB2312" w:hAnsi="黑体" w:eastAsia="仿宋_GB2312" w:cs="仿宋_GB2312"/>
          <w:sz w:val="32"/>
          <w:szCs w:val="32"/>
          <w:lang w:val="en-US" w:eastAsia="zh-CN"/>
        </w:rPr>
        <w:t>350</w:t>
      </w:r>
      <w:r>
        <w:rPr>
          <w:rFonts w:hint="eastAsia" w:ascii="仿宋_GB2312" w:hAnsi="黑体" w:eastAsia="仿宋_GB2312"/>
          <w:sz w:val="32"/>
          <w:szCs w:val="32"/>
        </w:rPr>
        <w:t>万元</w:t>
      </w:r>
      <w:r>
        <w:rPr>
          <w:rFonts w:hint="eastAsia" w:ascii="仿宋_GB2312" w:hAnsi="黑体" w:eastAsia="仿宋_GB2312"/>
          <w:sz w:val="32"/>
          <w:szCs w:val="32"/>
        </w:rPr>
        <w:t>。</w:t>
      </w:r>
    </w:p>
    <w:p>
      <w:pPr>
        <w:keepNext w:val="0"/>
        <w:keepLines w:val="0"/>
        <w:pageBreakBefore w:val="0"/>
        <w:kinsoku/>
        <w:wordWrap/>
        <w:overflowPunct/>
        <w:topLinePunct w:val="0"/>
        <w:bidi w:val="0"/>
        <w:snapToGrid/>
        <w:spacing w:beforeAutospacing="0" w:afterAutospacing="0" w:line="560" w:lineRule="exact"/>
        <w:ind w:right="0" w:rightChars="0"/>
        <w:jc w:val="center"/>
        <w:textAlignment w:val="auto"/>
        <w:outlineLvl w:val="9"/>
        <w:rPr>
          <w:rFonts w:ascii="黑体" w:hAnsi="黑体" w:eastAsia="黑体"/>
          <w:sz w:val="32"/>
          <w:szCs w:val="32"/>
        </w:rPr>
      </w:pPr>
    </w:p>
    <w:p>
      <w:pPr>
        <w:keepNext w:val="0"/>
        <w:keepLines w:val="0"/>
        <w:pageBreakBefore w:val="0"/>
        <w:kinsoku/>
        <w:wordWrap/>
        <w:overflowPunct/>
        <w:topLinePunct w:val="0"/>
        <w:bidi w:val="0"/>
        <w:snapToGrid/>
        <w:spacing w:beforeAutospacing="0" w:afterAutospacing="0" w:line="560" w:lineRule="exact"/>
        <w:ind w:right="0" w:rightChars="0"/>
        <w:jc w:val="left"/>
        <w:textAlignment w:val="auto"/>
        <w:outlineLvl w:val="9"/>
        <w:rPr>
          <w:rFonts w:ascii="仿宋_GB2312" w:hAnsi="宋体" w:eastAsia="仿宋_GB2312" w:cs="宋体"/>
          <w:color w:val="000000"/>
          <w:kern w:val="0"/>
          <w:sz w:val="32"/>
          <w:szCs w:val="30"/>
        </w:rPr>
      </w:pPr>
    </w:p>
    <w:p>
      <w:pPr>
        <w:keepNext w:val="0"/>
        <w:keepLines w:val="0"/>
        <w:pageBreakBefore w:val="0"/>
        <w:kinsoku/>
        <w:wordWrap/>
        <w:overflowPunct/>
        <w:topLinePunct w:val="0"/>
        <w:bidi w:val="0"/>
        <w:snapToGrid/>
        <w:spacing w:beforeAutospacing="0" w:afterAutospacing="0" w:line="560" w:lineRule="exact"/>
        <w:ind w:right="0" w:rightChars="0"/>
        <w:jc w:val="left"/>
        <w:textAlignment w:val="auto"/>
        <w:outlineLvl w:val="9"/>
        <w:rPr>
          <w:rFonts w:ascii="仿宋_GB2312" w:hAnsi="宋体" w:eastAsia="仿宋_GB2312" w:cs="宋体"/>
          <w:color w:val="000000"/>
          <w:kern w:val="0"/>
          <w:sz w:val="32"/>
          <w:szCs w:val="30"/>
        </w:rPr>
      </w:pPr>
    </w:p>
    <w:p>
      <w:pPr>
        <w:keepNext w:val="0"/>
        <w:keepLines w:val="0"/>
        <w:pageBreakBefore w:val="0"/>
        <w:kinsoku/>
        <w:wordWrap/>
        <w:overflowPunct/>
        <w:topLinePunct w:val="0"/>
        <w:bidi w:val="0"/>
        <w:snapToGrid/>
        <w:spacing w:beforeAutospacing="0" w:afterAutospacing="0" w:line="560" w:lineRule="exact"/>
        <w:ind w:right="0" w:rightChars="0"/>
        <w:jc w:val="left"/>
        <w:textAlignment w:val="auto"/>
        <w:outlineLvl w:val="9"/>
        <w:rPr>
          <w:rFonts w:ascii="仿宋_GB2312" w:hAnsi="宋体" w:eastAsia="仿宋_GB2312" w:cs="宋体"/>
          <w:color w:val="000000"/>
          <w:kern w:val="0"/>
          <w:sz w:val="32"/>
          <w:szCs w:val="30"/>
        </w:rPr>
      </w:pPr>
      <w:bookmarkStart w:id="0" w:name="_GoBack"/>
      <w:bookmarkEnd w:id="0"/>
    </w:p>
    <w:p>
      <w:pPr>
        <w:keepNext w:val="0"/>
        <w:keepLines w:val="0"/>
        <w:pageBreakBefore w:val="0"/>
        <w:kinsoku/>
        <w:wordWrap/>
        <w:overflowPunct/>
        <w:topLinePunct w:val="0"/>
        <w:bidi w:val="0"/>
        <w:snapToGrid/>
        <w:spacing w:beforeAutospacing="0" w:afterAutospacing="0" w:line="560" w:lineRule="exact"/>
        <w:ind w:right="0" w:rightChars="0"/>
        <w:jc w:val="center"/>
        <w:textAlignment w:val="auto"/>
        <w:outlineLvl w:val="9"/>
        <w:rPr>
          <w:rFonts w:ascii="黑体" w:hAnsi="黑体" w:eastAsia="黑体"/>
          <w:b/>
          <w:sz w:val="32"/>
          <w:szCs w:val="32"/>
        </w:rPr>
      </w:pPr>
      <w:r>
        <w:rPr>
          <w:rFonts w:hint="eastAsia" w:ascii="黑体" w:hAnsi="黑体" w:eastAsia="黑体"/>
          <w:b/>
          <w:sz w:val="32"/>
          <w:szCs w:val="32"/>
        </w:rPr>
        <w:t>第四部分  名词解释</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2"/>
        </w:rPr>
      </w:pPr>
    </w:p>
    <w:p>
      <w:pPr>
        <w:keepNext w:val="0"/>
        <w:keepLines w:val="0"/>
        <w:pageBreakBefore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left"/>
        <w:textAlignment w:val="auto"/>
        <w:outlineLvl w:val="9"/>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r>
        <w:rPr>
          <w:rFonts w:hint="eastAsia" w:ascii="仿宋_GB2312" w:hAnsi="宋体" w:eastAsia="仿宋_GB2312" w:cs="宋体"/>
          <w:color w:val="000000"/>
          <w:kern w:val="0"/>
          <w:sz w:val="32"/>
          <w:szCs w:val="32"/>
        </w:rPr>
        <w:t xml:space="preserve"> </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hint="eastAsia" w:ascii="仿宋_GB2312" w:hAnsi="宋体" w:eastAsia="仿宋_GB2312" w:cs="宋体"/>
          <w:color w:val="000000"/>
          <w:kern w:val="0"/>
          <w:sz w:val="32"/>
          <w:szCs w:val="32"/>
          <w:lang w:val="zh-CN"/>
        </w:rPr>
        <w:t>。</w:t>
      </w:r>
      <w:r>
        <w:rPr>
          <w:rFonts w:hint="eastAsia" w:ascii="仿宋_GB2312" w:hAnsi="宋体" w:eastAsia="仿宋_GB2312" w:cs="宋体"/>
          <w:color w:val="000000"/>
          <w:kern w:val="0"/>
          <w:sz w:val="32"/>
          <w:szCs w:val="32"/>
        </w:rPr>
        <w:t xml:space="preserve"> </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r>
        <w:rPr>
          <w:rFonts w:hint="eastAsia" w:ascii="仿宋_GB2312" w:hAnsi="宋体" w:eastAsia="仿宋_GB2312" w:cs="宋体"/>
          <w:color w:val="000000"/>
          <w:kern w:val="0"/>
          <w:sz w:val="32"/>
          <w:szCs w:val="32"/>
        </w:rPr>
        <w:t xml:space="preserve"> </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w:t>
      </w:r>
      <w:r>
        <w:rPr>
          <w:rFonts w:hint="eastAsia" w:ascii="仿宋_GB2312" w:eastAsia="仿宋_GB2312"/>
          <w:sz w:val="32"/>
          <w:szCs w:val="32"/>
        </w:rPr>
        <w:t>事业单位经营收入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keepNext w:val="0"/>
        <w:keepLines w:val="0"/>
        <w:pageBreakBefore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left"/>
        <w:textAlignment w:val="auto"/>
        <w:outlineLvl w:val="9"/>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八、</w:t>
      </w:r>
      <w:r>
        <w:rPr>
          <w:rFonts w:hint="eastAsia" w:ascii="仿宋_GB2312" w:eastAsia="仿宋_GB2312"/>
          <w:sz w:val="32"/>
          <w:szCs w:val="32"/>
        </w:rPr>
        <w:t>用事业基金弥补收支差额</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keepNext w:val="0"/>
        <w:keepLines w:val="0"/>
        <w:pageBreakBefore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left"/>
        <w:textAlignment w:val="auto"/>
        <w:outlineLvl w:val="9"/>
        <w:rPr>
          <w:rFonts w:ascii="仿宋_GB2312" w:eastAsia="仿宋_GB2312" w:cs="宋体"/>
          <w:bCs/>
          <w:color w:val="000000"/>
          <w:kern w:val="0"/>
          <w:sz w:val="32"/>
          <w:szCs w:val="32"/>
          <w:lang w:val="zh-CN"/>
        </w:rPr>
      </w:pPr>
      <w:r>
        <w:rPr>
          <w:rFonts w:hint="eastAsia" w:ascii="仿宋_GB2312" w:hAnsi="宋体" w:eastAsia="仿宋_GB2312" w:cs="宋体"/>
          <w:color w:val="000000"/>
          <w:kern w:val="0"/>
          <w:sz w:val="32"/>
          <w:szCs w:val="32"/>
        </w:rPr>
        <w:t>九、</w:t>
      </w:r>
      <w:r>
        <w:rPr>
          <w:rFonts w:hint="eastAsia" w:ascii="仿宋_GB2312" w:eastAsia="仿宋_GB2312"/>
          <w:sz w:val="32"/>
          <w:szCs w:val="32"/>
        </w:rPr>
        <w:t>上年结转结余收入</w:t>
      </w:r>
      <w:r>
        <w:rPr>
          <w:rFonts w:hint="eastAsia" w:ascii="仿宋_GB2312" w:hAnsi="宋体" w:eastAsia="仿宋_GB2312" w:cs="宋体"/>
          <w:color w:val="000000"/>
          <w:kern w:val="0"/>
          <w:sz w:val="32"/>
          <w:szCs w:val="32"/>
        </w:rPr>
        <w:t>：</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keepNext w:val="0"/>
        <w:keepLines w:val="0"/>
        <w:pageBreakBefore w:val="0"/>
        <w:widowControl/>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十、一般公共服务（类）××事务（款）行政运行（项）：指××用于保障机构正常运行、开展日常工作的基本支出。</w:t>
      </w:r>
    </w:p>
    <w:p>
      <w:pPr>
        <w:keepNext w:val="0"/>
        <w:keepLines w:val="0"/>
        <w:pageBreakBefore w:val="0"/>
        <w:widowControl/>
        <w:kinsoku/>
        <w:wordWrap/>
        <w:overflowPunct/>
        <w:topLinePunct w:val="0"/>
        <w:bidi w:val="0"/>
        <w:snapToGrid/>
        <w:spacing w:beforeAutospacing="0" w:afterAutospacing="0" w:line="560" w:lineRule="exact"/>
        <w:ind w:right="0" w:rightChars="0" w:firstLine="640" w:firstLineChars="200"/>
        <w:textAlignment w:val="auto"/>
        <w:outlineLvl w:val="9"/>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十一、一般公共服务（类）××事务（款）一般行政管理事务（项）：指用于××等未单独设置项级科目的项目支出。</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十二、基本支出：指行政事业单位用于为保障其机构正常运转、完成日常工作任务而发生的人员支出和公用支出。</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十三、项目支出：指在基本支出之外为完成特定的行政工作任务或事业发展目标所发生的支出。</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0"/>
        </w:rPr>
      </w:pPr>
      <w:r>
        <w:rPr>
          <w:rFonts w:hint="eastAsia" w:ascii="仿宋_GB2312" w:hAnsi="黑体" w:eastAsia="仿宋_GB2312" w:cs="仿宋_GB2312"/>
          <w:sz w:val="32"/>
          <w:szCs w:val="32"/>
        </w:rPr>
        <w:t>十</w:t>
      </w:r>
      <w:r>
        <w:rPr>
          <w:rFonts w:hint="eastAsia" w:ascii="仿宋_GB2312" w:hAnsi="宋体" w:eastAsia="仿宋_GB2312" w:cs="宋体"/>
          <w:color w:val="000000"/>
          <w:kern w:val="0"/>
          <w:sz w:val="32"/>
          <w:szCs w:val="30"/>
        </w:rPr>
        <w:t>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keepNext w:val="0"/>
        <w:keepLines w:val="0"/>
        <w:pageBreakBefore w:val="0"/>
        <w:kinsoku/>
        <w:wordWrap/>
        <w:overflowPunct/>
        <w:topLinePunct w:val="0"/>
        <w:bidi w:val="0"/>
        <w:snapToGrid/>
        <w:spacing w:beforeAutospacing="0" w:afterAutospacing="0" w:line="560" w:lineRule="exact"/>
        <w:ind w:right="0" w:rightChars="0" w:firstLine="640" w:firstLineChars="200"/>
        <w:jc w:val="left"/>
        <w:textAlignment w:val="auto"/>
        <w:outlineLvl w:val="9"/>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2154" w:right="1474"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幼圆">
    <w:altName w:val="宋体"/>
    <w:panose1 w:val="0201050906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Arial Black">
    <w:panose1 w:val="020B0A04020102020204"/>
    <w:charset w:val="00"/>
    <w:family w:val="auto"/>
    <w:pitch w:val="default"/>
    <w:sig w:usb0="00000287" w:usb1="00000000" w:usb2="00000000" w:usb3="00000000" w:csb0="2000009F" w:csb1="DFD70000"/>
  </w:font>
  <w:font w:name="方正舒体">
    <w:altName w:val="宋体"/>
    <w:panose1 w:val="02010601030101010101"/>
    <w:charset w:val="86"/>
    <w:family w:val="auto"/>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华文新魏">
    <w:altName w:val="宋体"/>
    <w:panose1 w:val="02010800040101010101"/>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9437811">
    <w:nsid w:val="5A90C7F3"/>
    <w:multiLevelType w:val="singleLevel"/>
    <w:tmpl w:val="5A90C7F3"/>
    <w:lvl w:ilvl="0" w:tentative="1">
      <w:start w:val="1"/>
      <w:numFmt w:val="decimal"/>
      <w:suff w:val="nothing"/>
      <w:lvlText w:val="%1."/>
      <w:lvlJc w:val="left"/>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 w:numId="6">
    <w:abstractNumId w:val="15194378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1B44"/>
    <w:rsid w:val="00003088"/>
    <w:rsid w:val="001326C1"/>
    <w:rsid w:val="00173B57"/>
    <w:rsid w:val="001A7472"/>
    <w:rsid w:val="002530AD"/>
    <w:rsid w:val="00283E6E"/>
    <w:rsid w:val="00293316"/>
    <w:rsid w:val="002956BC"/>
    <w:rsid w:val="002A59FA"/>
    <w:rsid w:val="002E73B0"/>
    <w:rsid w:val="00343757"/>
    <w:rsid w:val="003847B6"/>
    <w:rsid w:val="004313AB"/>
    <w:rsid w:val="004522A5"/>
    <w:rsid w:val="00474F12"/>
    <w:rsid w:val="004A1C49"/>
    <w:rsid w:val="00525863"/>
    <w:rsid w:val="00537B3F"/>
    <w:rsid w:val="0059423F"/>
    <w:rsid w:val="005C2065"/>
    <w:rsid w:val="00640059"/>
    <w:rsid w:val="006871F7"/>
    <w:rsid w:val="006B1FB3"/>
    <w:rsid w:val="0075151D"/>
    <w:rsid w:val="007523E7"/>
    <w:rsid w:val="00786240"/>
    <w:rsid w:val="00793A7F"/>
    <w:rsid w:val="007B3322"/>
    <w:rsid w:val="007E4EAF"/>
    <w:rsid w:val="009262C2"/>
    <w:rsid w:val="00926751"/>
    <w:rsid w:val="00947538"/>
    <w:rsid w:val="009616E6"/>
    <w:rsid w:val="009846A5"/>
    <w:rsid w:val="00995DA5"/>
    <w:rsid w:val="009F52FB"/>
    <w:rsid w:val="00A545A0"/>
    <w:rsid w:val="00C91D51"/>
    <w:rsid w:val="00CA7DBE"/>
    <w:rsid w:val="00CD7757"/>
    <w:rsid w:val="00DC65EF"/>
    <w:rsid w:val="00DD3FD8"/>
    <w:rsid w:val="00E3389C"/>
    <w:rsid w:val="00E73A4A"/>
    <w:rsid w:val="00ED50D0"/>
    <w:rsid w:val="00ED6580"/>
    <w:rsid w:val="00F91B44"/>
    <w:rsid w:val="00FB0A31"/>
    <w:rsid w:val="00FF3698"/>
    <w:rsid w:val="131F4813"/>
    <w:rsid w:val="1F394CC0"/>
    <w:rsid w:val="30304804"/>
    <w:rsid w:val="45D12A01"/>
    <w:rsid w:val="49A41478"/>
    <w:rsid w:val="4CDA6489"/>
    <w:rsid w:val="55315CDD"/>
    <w:rsid w:val="566E7A04"/>
    <w:rsid w:val="5F277E2D"/>
    <w:rsid w:val="62CE613C"/>
    <w:rsid w:val="6725446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542</Words>
  <Characters>3090</Characters>
  <Lines>25</Lines>
  <Paragraphs>7</Paragraphs>
  <ScaleCrop>false</ScaleCrop>
  <LinksUpToDate>false</LinksUpToDate>
  <CharactersWithSpaces>3625</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gjhj</cp:lastModifiedBy>
  <dcterms:modified xsi:type="dcterms:W3CDTF">2018-02-27T04:12:01Z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